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bookmarkStart w:id="100" w:name="tocbm0"/>
      <w:pPr>
        <w:pStyle w:val="Heading1"/>
        <w:pageBreakBefore w:val="0"/>
      </w:pPr>
      <w:r>
        <w:t>Operating Checklists and Templates</w:t>
      </w:r>
      <w:bookmarkEnd w:id="100"/>
    </w:p>
    <w:p>
      <w:pPr>
        <w:spacing w:after="100"/>
        <w:ind w:firstLine="0"/>
      </w:pPr>
      <w:r>
        <w:t>Companion file of The Data Center Operations Handbook (Julian R. Sterling), Appendix B in editable form. These lists are starting points. Each was written for Varden Point and should be adapted to the design, contracts and regulations of your own site. A checklist you have not changed is one you have not yet read closely.</w:t>
      </w:r>
    </w:p>
    <w:p>
      <w:pPr>
        <w:pStyle w:val="Heading2"/>
      </w:pPr>
      <w:r>
        <w:t>The first ninety days after handover</w:t>
      </w:r>
    </w:p>
    <w:p>
      <w:pPr>
        <w:spacing w:after="100"/>
        <w:ind w:firstLine="0"/>
      </w:pPr>
      <w:r>
        <w:rPr>
          <w:b/>
        </w:rPr>
        <w:t>Documentation</w:t>
      </w:r>
    </w:p>
    <w:p>
      <w:pPr>
        <w:spacing w:after="60"/>
        <w:ind w:left="432" w:hanging="259"/>
      </w:pPr>
      <w:r>
        <w:t xml:space="preserve">• </w:t>
      </w:r>
      <w:r>
        <w:t>As-built drawings received for every system, and the single-line diagrams checked against the equipment in the field.</w:t>
      </w:r>
    </w:p>
    <w:p>
      <w:pPr>
        <w:spacing w:after="60"/>
        <w:ind w:left="432" w:hanging="259"/>
      </w:pPr>
      <w:r>
        <w:t xml:space="preserve">• </w:t>
      </w:r>
      <w:r>
        <w:t>Operation and maintenance manuals indexed by asset, not only by vendor.</w:t>
      </w:r>
    </w:p>
    <w:p>
      <w:pPr>
        <w:spacing w:after="60"/>
        <w:ind w:left="432" w:hanging="259"/>
      </w:pPr>
      <w:r>
        <w:t xml:space="preserve">• </w:t>
      </w:r>
      <w:r>
        <w:t>Sequences of operation for every automatic control scheme, and the commissioning scripts that tested them.</w:t>
      </w:r>
    </w:p>
    <w:p>
      <w:pPr>
        <w:spacing w:after="60"/>
        <w:ind w:left="432" w:hanging="259"/>
      </w:pPr>
      <w:r>
        <w:t xml:space="preserve">• </w:t>
      </w:r>
      <w:r>
        <w:t>Test certificates for every commissioning level, filed by system.</w:t>
      </w:r>
    </w:p>
    <w:p>
      <w:pPr>
        <w:spacing w:after="100"/>
        <w:ind w:firstLine="0"/>
      </w:pPr>
      <w:r>
        <w:rPr>
          <w:b/>
        </w:rPr>
        <w:t>Punch list</w:t>
      </w:r>
    </w:p>
    <w:p>
      <w:pPr>
        <w:spacing w:after="60"/>
        <w:ind w:left="432" w:hanging="259"/>
      </w:pPr>
      <w:r>
        <w:t xml:space="preserve">• </w:t>
      </w:r>
      <w:r>
        <w:t>Every open item classified: category A (blocks customer load on a named system), B (must close before a named date), C (cosmetic or administrative).</w:t>
      </w:r>
    </w:p>
    <w:p>
      <w:pPr>
        <w:spacing w:after="60"/>
        <w:ind w:left="432" w:hanging="259"/>
      </w:pPr>
      <w:r>
        <w:t xml:space="preserve">• </w:t>
      </w:r>
      <w:r>
        <w:t>Category A items mapped to the systems and halls they block, with the date each system is first needed for customer load.</w:t>
      </w:r>
    </w:p>
    <w:p>
      <w:pPr>
        <w:spacing w:after="100"/>
        <w:ind w:firstLine="0"/>
      </w:pPr>
      <w:r>
        <w:rPr>
          <w:b/>
        </w:rPr>
        <w:t>Alarms and monitoring</w:t>
      </w:r>
    </w:p>
    <w:p>
      <w:pPr>
        <w:spacing w:after="60"/>
        <w:ind w:left="432" w:hanging="259"/>
      </w:pPr>
      <w:r>
        <w:t xml:space="preserve">• </w:t>
      </w:r>
      <w:r>
        <w:t>Point-to-point verification of every critical alarm from the device to the console, with priority and text confirmed.</w:t>
      </w:r>
    </w:p>
    <w:p>
      <w:pPr>
        <w:spacing w:after="60"/>
        <w:ind w:left="432" w:hanging="259"/>
      </w:pPr>
      <w:r>
        <w:t xml:space="preserve">• </w:t>
      </w:r>
      <w:r>
        <w:t>Escalation of each critical alarm tested to the on-call manager.</w:t>
      </w:r>
    </w:p>
    <w:p>
      <w:pPr>
        <w:spacing w:after="60"/>
        <w:ind w:left="432" w:hanging="259"/>
      </w:pPr>
      <w:r>
        <w:t xml:space="preserve">• </w:t>
      </w:r>
      <w:r>
        <w:t>Default passwords changed on every controller, monitoring server and network device; remote vendor access limited to named accounts.</w:t>
      </w:r>
    </w:p>
    <w:p>
      <w:pPr>
        <w:spacing w:after="100"/>
        <w:ind w:firstLine="0"/>
      </w:pPr>
      <w:r>
        <w:rPr>
          <w:b/>
        </w:rPr>
        <w:t>Procedures</w:t>
      </w:r>
    </w:p>
    <w:p>
      <w:pPr>
        <w:spacing w:after="60"/>
        <w:ind w:left="432" w:hanging="259"/>
      </w:pPr>
      <w:r>
        <w:t xml:space="preserve">• </w:t>
      </w:r>
      <w:r>
        <w:t>Emergency operating procedures written and drilled on every shift for: loss of utility supply, generator failure to start, UPS on battery, chiller trip, fire alarm in a data hall, water leak in a data hall, loss of the monitoring system.</w:t>
      </w:r>
    </w:p>
    <w:p>
      <w:pPr>
        <w:spacing w:after="60"/>
        <w:ind w:left="432" w:hanging="259"/>
      </w:pPr>
      <w:r>
        <w:t xml:space="preserve">• </w:t>
      </w:r>
      <w:r>
        <w:t>Standard operating procedures for the routine tasks of each shift.</w:t>
      </w:r>
    </w:p>
    <w:p>
      <w:pPr>
        <w:spacing w:after="60"/>
        <w:ind w:left="432" w:hanging="259"/>
      </w:pPr>
      <w:r>
        <w:t xml:space="preserve">• </w:t>
      </w:r>
      <w:r>
        <w:t>Method of procedure template adopted, with a mandatory field walk-down step.</w:t>
      </w:r>
    </w:p>
    <w:p>
      <w:pPr>
        <w:spacing w:after="100"/>
        <w:ind w:firstLine="0"/>
      </w:pPr>
      <w:r>
        <w:rPr>
          <w:b/>
        </w:rPr>
        <w:t>Maintenance</w:t>
      </w:r>
    </w:p>
    <w:p>
      <w:pPr>
        <w:spacing w:after="60"/>
        <w:ind w:left="432" w:hanging="259"/>
      </w:pPr>
      <w:r>
        <w:t xml:space="preserve">• </w:t>
      </w:r>
      <w:r>
        <w:t>Asset register built, every asset tagged in the field with a label matching the register.</w:t>
      </w:r>
    </w:p>
    <w:p>
      <w:pPr>
        <w:spacing w:after="60"/>
        <w:ind w:left="432" w:hanging="259"/>
      </w:pPr>
      <w:r>
        <w:t xml:space="preserve">• </w:t>
      </w:r>
      <w:r>
        <w:t>Maintenance schedule loaded and the first month's work orders generated.</w:t>
      </w:r>
    </w:p>
    <w:p>
      <w:pPr>
        <w:spacing w:after="60"/>
        <w:ind w:left="432" w:hanging="259"/>
      </w:pPr>
      <w:r>
        <w:t xml:space="preserve">• </w:t>
      </w:r>
      <w:r>
        <w:t>Service contracts compared with the asset register: every critical asset family covered.</w:t>
      </w:r>
    </w:p>
    <w:p>
      <w:pPr>
        <w:spacing w:after="60"/>
        <w:ind w:left="432" w:hanging="259"/>
      </w:pPr>
      <w:r>
        <w:t xml:space="preserve">• </w:t>
      </w:r>
      <w:r>
        <w:t>Spares matched to assets and stored where the night shift can find them.</w:t>
      </w:r>
    </w:p>
    <w:p>
      <w:pPr>
        <w:spacing w:after="100"/>
        <w:ind w:firstLine="0"/>
      </w:pPr>
      <w:r>
        <w:rPr>
          <w:b/>
        </w:rPr>
        <w:t>Meters and capacity</w:t>
      </w:r>
    </w:p>
    <w:p>
      <w:pPr>
        <w:spacing w:after="60"/>
        <w:ind w:left="432" w:hanging="259"/>
      </w:pPr>
      <w:r>
        <w:t xml:space="preserve">• </w:t>
      </w:r>
      <w:r>
        <w:t>Every customer, building and utility meter reconciled; current transformer ratios verified.</w:t>
      </w:r>
    </w:p>
    <w:p>
      <w:pPr>
        <w:spacing w:after="60"/>
        <w:ind w:left="432" w:hanging="259"/>
      </w:pPr>
      <w:r>
        <w:t xml:space="preserve">• </w:t>
      </w:r>
      <w:r>
        <w:t>Baseline PUE recorded per building, with the boundary stated.</w:t>
      </w:r>
    </w:p>
    <w:p>
      <w:pPr>
        <w:spacing w:after="60"/>
        <w:ind w:left="432" w:hanging="259"/>
      </w:pPr>
      <w:r>
        <w:t xml:space="preserve">• </w:t>
      </w:r>
      <w:r>
        <w:t>Capacity record opened: every sold kilowatt mapped to its circuits, distribution path and UPS system or block.</w:t>
      </w:r>
    </w:p>
    <w:p>
      <w:pPr>
        <w:spacing w:after="100"/>
        <w:ind w:firstLine="0"/>
      </w:pPr>
      <w:r>
        <w:rPr>
          <w:b/>
        </w:rPr>
        <w:t>Commercial and contractual</w:t>
      </w:r>
    </w:p>
    <w:p>
      <w:pPr>
        <w:spacing w:after="60"/>
        <w:ind w:left="432" w:hanging="259"/>
      </w:pPr>
      <w:r>
        <w:t xml:space="preserve">• </w:t>
      </w:r>
      <w:r>
        <w:t>Warranty register: every asset, its start date under each contractual definition, and the definition that applies.</w:t>
      </w:r>
    </w:p>
    <w:p>
      <w:pPr>
        <w:spacing w:after="60"/>
        <w:ind w:left="432" w:hanging="259"/>
      </w:pPr>
      <w:r>
        <w:t xml:space="preserve">• </w:t>
      </w:r>
      <w:r>
        <w:t>List of single-corded customers by circuit.</w:t>
      </w:r>
    </w:p>
    <w:p>
      <w:pPr>
        <w:spacing w:after="60"/>
        <w:ind w:left="432" w:hanging="259"/>
      </w:pPr>
      <w:r>
        <w:t xml:space="preserve">• </w:t>
      </w:r>
      <w:r>
        <w:t>First monthly report issued to the owner.</w:t>
      </w:r>
    </w:p>
    <w:p>
      <w:pPr>
        <w:pStyle w:val="Heading2"/>
      </w:pPr>
      <w:r>
        <w:t>Method of procedure: template</w:t>
      </w:r>
    </w:p>
    <w:p>
      <w:pPr>
        <w:spacing w:after="100"/>
        <w:ind w:firstLine="0"/>
      </w:pPr>
      <w:r>
        <w:t>Every method of procedure at Varden Point uses the same structure.</w:t>
      </w:r>
    </w:p>
    <w:p>
      <w:pPr>
        <w:spacing w:after="60"/>
        <w:ind w:left="432" w:hanging="259"/>
      </w:pPr>
      <w:r>
        <w:t xml:space="preserve">1. </w:t>
      </w:r>
      <w:r>
        <w:rPr>
          <w:b/>
        </w:rPr>
        <w:t>Header.</w:t>
      </w:r>
      <w:r>
        <w:t xml:space="preserve"> Title, reference number, revision, author, reviewer, approver, change class, planned date and window.</w:t>
      </w:r>
    </w:p>
    <w:p>
      <w:pPr>
        <w:spacing w:after="60"/>
        <w:ind w:left="432" w:hanging="259"/>
      </w:pPr>
      <w:r>
        <w:t xml:space="preserve">2. </w:t>
      </w:r>
      <w:r>
        <w:rPr>
          <w:b/>
        </w:rPr>
        <w:t>Scope.</w:t>
      </w:r>
      <w:r>
        <w:t xml:space="preserve"> What the work does, on which equipment (by label), and why.</w:t>
      </w:r>
    </w:p>
    <w:p>
      <w:pPr>
        <w:spacing w:after="60"/>
        <w:ind w:left="432" w:hanging="259"/>
      </w:pPr>
      <w:r>
        <w:t xml:space="preserve">3. </w:t>
      </w:r>
      <w:r>
        <w:rPr>
          <w:b/>
        </w:rPr>
        <w:t>Effect.</w:t>
      </w:r>
      <w:r>
        <w:t xml:space="preserve"> Which redundancy is removed and for how long; which customers are on the affected path; whether any of them are single-corded; the notice given.</w:t>
      </w:r>
    </w:p>
    <w:p>
      <w:pPr>
        <w:spacing w:after="60"/>
        <w:ind w:left="432" w:hanging="259"/>
      </w:pPr>
      <w:r>
        <w:t xml:space="preserve">4. </w:t>
      </w:r>
      <w:r>
        <w:rPr>
          <w:b/>
        </w:rPr>
        <w:t>Prerequisites.</w:t>
      </w:r>
      <w:r>
        <w:t xml:space="preserve"> Weather, utility status, no conflicting work, spares on hand, vendor confirmed, permits issued, customers notified, emergency procedure for the affected system reviewed by the crew.</w:t>
      </w:r>
    </w:p>
    <w:p>
      <w:pPr>
        <w:spacing w:after="60"/>
        <w:ind w:left="432" w:hanging="259"/>
      </w:pPr>
      <w:r>
        <w:t xml:space="preserve">5. </w:t>
      </w:r>
      <w:r>
        <w:rPr>
          <w:b/>
        </w:rPr>
        <w:t>Field walk-down.</w:t>
      </w:r>
      <w:r>
        <w:t xml:space="preserve"> Signed confirmation that every device named in the procedure was compared with its physical label at the panel, with the date and the name of the person who did it.</w:t>
      </w:r>
    </w:p>
    <w:p>
      <w:pPr>
        <w:spacing w:after="60"/>
        <w:ind w:left="432" w:hanging="259"/>
      </w:pPr>
      <w:r>
        <w:t xml:space="preserve">6. </w:t>
      </w:r>
      <w:r>
        <w:rPr>
          <w:b/>
        </w:rPr>
        <w:t>Steps.</w:t>
      </w:r>
      <w:r>
        <w:t xml:space="preserve"> One action per step, naming the device by its label, stating the expected condition after the step, with a box for the initials of the person performing it and, for switching, of the person verifying it.</w:t>
      </w:r>
    </w:p>
    <w:p>
      <w:pPr>
        <w:spacing w:after="60"/>
        <w:ind w:left="432" w:hanging="259"/>
      </w:pPr>
      <w:r>
        <w:t xml:space="preserve">7. </w:t>
      </w:r>
      <w:r>
        <w:rPr>
          <w:b/>
        </w:rPr>
        <w:t>Hold points.</w:t>
      </w:r>
      <w:r>
        <w:t xml:space="preserve"> The readings that must be confirmed before continuing.</w:t>
      </w:r>
    </w:p>
    <w:p>
      <w:pPr>
        <w:spacing w:after="60"/>
        <w:ind w:left="432" w:hanging="259"/>
      </w:pPr>
      <w:r>
        <w:t xml:space="preserve">8. </w:t>
      </w:r>
      <w:r>
        <w:rPr>
          <w:b/>
        </w:rPr>
        <w:t>Back-out plan.</w:t>
      </w:r>
      <w:r>
        <w:t xml:space="preserve"> The steps to return the system to its original state from each hold point.</w:t>
      </w:r>
    </w:p>
    <w:p>
      <w:pPr>
        <w:spacing w:after="60"/>
        <w:ind w:left="432" w:hanging="259"/>
      </w:pPr>
      <w:r>
        <w:t xml:space="preserve">9. </w:t>
      </w:r>
      <w:r>
        <w:rPr>
          <w:b/>
        </w:rPr>
        <w:t>Restoration and verification.</w:t>
      </w:r>
      <w:r>
        <w:t xml:space="preserve"> How the system is returned to normal, and the readings that confirm it.</w:t>
      </w:r>
    </w:p>
    <w:p>
      <w:pPr>
        <w:spacing w:after="60"/>
        <w:ind w:left="432" w:hanging="259"/>
      </w:pPr>
      <w:r>
        <w:t xml:space="preserve">10. </w:t>
      </w:r>
      <w:r>
        <w:rPr>
          <w:b/>
        </w:rPr>
        <w:t>Close-out.</w:t>
      </w:r>
      <w:r>
        <w:t xml:space="preserve"> Single-line diagram and capacity record updated if anything changed; work order closed; lessons noted.</w:t>
      </w:r>
    </w:p>
    <w:p>
      <w:pPr>
        <w:pStyle w:val="Heading2"/>
      </w:pPr>
      <w:r>
        <w:t>Incident report: template</w:t>
      </w:r>
    </w:p>
    <w:p>
      <w:pPr>
        <w:spacing w:after="60"/>
        <w:ind w:left="432" w:hanging="259"/>
      </w:pPr>
      <w:r>
        <w:t xml:space="preserve">1. </w:t>
      </w:r>
      <w:r>
        <w:t>Summary in three sentences: what was affected, for how long, and the cause as far as it is known.</w:t>
      </w:r>
    </w:p>
    <w:p>
      <w:pPr>
        <w:spacing w:after="60"/>
        <w:ind w:left="432" w:hanging="259"/>
      </w:pPr>
      <w:r>
        <w:t xml:space="preserve">2. </w:t>
      </w:r>
      <w:r>
        <w:t>Timeline, from the first alarm to full restoration of redundancy, in local time.</w:t>
      </w:r>
    </w:p>
    <w:p>
      <w:pPr>
        <w:spacing w:after="60"/>
        <w:ind w:left="432" w:hanging="259"/>
      </w:pPr>
      <w:r>
        <w:t xml:space="preserve">3. </w:t>
      </w:r>
      <w:r>
        <w:t>Customer effect: customers affected, cabinets, kilowatts, duration per customer, SLA tier and credit.</w:t>
      </w:r>
    </w:p>
    <w:p>
      <w:pPr>
        <w:spacing w:after="60"/>
        <w:ind w:left="432" w:hanging="259"/>
      </w:pPr>
      <w:r>
        <w:t xml:space="preserve">4. </w:t>
      </w:r>
      <w:r>
        <w:t>Immediate actions taken to restore service and to stabilize the site.</w:t>
      </w:r>
    </w:p>
    <w:p>
      <w:pPr>
        <w:spacing w:after="60"/>
        <w:ind w:left="432" w:hanging="259"/>
      </w:pPr>
      <w:r>
        <w:t xml:space="preserve">5. </w:t>
      </w:r>
      <w:r>
        <w:t>Root cause analysis: the sequence of questions and answers, down to the conditions in the system that made the error possible.</w:t>
      </w:r>
    </w:p>
    <w:p>
      <w:pPr>
        <w:spacing w:after="60"/>
        <w:ind w:left="432" w:hanging="259"/>
      </w:pPr>
      <w:r>
        <w:t xml:space="preserve">6. </w:t>
      </w:r>
      <w:r>
        <w:t>Contributing factors.</w:t>
      </w:r>
    </w:p>
    <w:p>
      <w:pPr>
        <w:spacing w:after="60"/>
        <w:ind w:left="432" w:hanging="259"/>
      </w:pPr>
      <w:r>
        <w:t xml:space="preserve">7. </w:t>
      </w:r>
      <w:r>
        <w:t>Corrective actions, each with an owner and a due date, including the search for other instances of the same condition elsewhere on the site.</w:t>
      </w:r>
    </w:p>
    <w:p>
      <w:pPr>
        <w:spacing w:after="60"/>
        <w:ind w:left="432" w:hanging="259"/>
      </w:pPr>
      <w:r>
        <w:t xml:space="preserve">8. </w:t>
      </w:r>
      <w:r>
        <w:t>Verification: how and when the site will confirm that each corrective action worked.</w:t>
      </w:r>
    </w:p>
    <w:p>
      <w:pPr>
        <w:pStyle w:val="Heading2"/>
      </w:pPr>
      <w:r>
        <w:t>Monthly pack: front page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pPr>
              <w:ind w:firstLine="0"/>
            </w:pPr>
            <w:r>
              <w:rPr>
                <w:rFonts w:ascii="Georgia" w:hAnsi="Georgia"/>
                <w:b/>
                <w:sz w:val="17"/>
              </w:rPr>
            </w:r>
            <w:r>
              <w:rPr>
                <w:rFonts w:ascii="Georgia" w:hAnsi="Georgia"/>
                <w:b/>
                <w:sz w:val="17"/>
              </w:rPr>
              <w:t>Block</w:t>
            </w:r>
          </w:p>
        </w:tc>
        <w:tc>
          <w:tcPr>
            <w:tcW w:type="dxa" w:w="4680"/>
          </w:tcPr>
          <w:p>
            <w:pPr>
              <w:ind w:firstLine="0"/>
            </w:pPr>
            <w:r>
              <w:rPr>
                <w:rFonts w:ascii="Georgia" w:hAnsi="Georgia"/>
                <w:b/>
                <w:sz w:val="17"/>
              </w:rPr>
            </w:r>
            <w:r>
              <w:rPr>
                <w:rFonts w:ascii="Georgia" w:hAnsi="Georgia"/>
                <w:b/>
                <w:sz w:val="17"/>
              </w:rPr>
              <w:t>Contents</w:t>
            </w:r>
          </w:p>
        </w:tc>
      </w:tr>
      <w:tr>
        <w:tc>
          <w:tcPr>
            <w:tcW w:type="dxa" w:w="4680"/>
          </w:tcPr>
          <w:p>
            <w:pPr>
              <w:ind w:firstLine="0"/>
            </w:pPr>
            <w:r>
              <w:rPr>
                <w:rFonts w:ascii="Georgia" w:hAnsi="Georgia"/>
                <w:sz w:val="17"/>
              </w:rPr>
            </w:r>
            <w:r>
              <w:rPr>
                <w:rFonts w:ascii="Georgia" w:hAnsi="Georgia"/>
                <w:sz w:val="17"/>
              </w:rPr>
              <w:t>Capacity</w:t>
            </w:r>
          </w:p>
        </w:tc>
        <w:tc>
          <w:tcPr>
            <w:tcW w:type="dxa" w:w="4680"/>
          </w:tcPr>
          <w:p>
            <w:pPr>
              <w:ind w:firstLine="0"/>
            </w:pPr>
            <w:r>
              <w:rPr>
                <w:rFonts w:ascii="Georgia" w:hAnsi="Georgia"/>
                <w:sz w:val="17"/>
              </w:rPr>
            </w:r>
            <w:r>
              <w:rPr>
                <w:rFonts w:ascii="Georgia" w:hAnsi="Georgia"/>
                <w:sz w:val="17"/>
              </w:rPr>
              <w:t>sold, drawn, sellable and stranded capacity by building; percent of design</w:t>
            </w:r>
          </w:p>
        </w:tc>
      </w:tr>
      <w:tr>
        <w:tc>
          <w:tcPr>
            <w:tcW w:type="dxa" w:w="4680"/>
          </w:tcPr>
          <w:p>
            <w:pPr>
              <w:ind w:firstLine="0"/>
            </w:pPr>
            <w:r>
              <w:rPr>
                <w:rFonts w:ascii="Georgia" w:hAnsi="Georgia"/>
                <w:sz w:val="17"/>
              </w:rPr>
            </w:r>
            <w:r>
              <w:rPr>
                <w:rFonts w:ascii="Georgia" w:hAnsi="Georgia"/>
                <w:sz w:val="17"/>
              </w:rPr>
              <w:t>Bookings</w:t>
            </w:r>
          </w:p>
        </w:tc>
        <w:tc>
          <w:tcPr>
            <w:tcW w:type="dxa" w:w="4680"/>
          </w:tcPr>
          <w:p>
            <w:pPr>
              <w:ind w:firstLine="0"/>
            </w:pPr>
            <w:r>
              <w:rPr>
                <w:rFonts w:ascii="Georgia" w:hAnsi="Georgia"/>
                <w:sz w:val="17"/>
              </w:rPr>
            </w:r>
            <w:r>
              <w:rPr>
                <w:rFonts w:ascii="Georgia" w:hAnsi="Georgia"/>
                <w:sz w:val="17"/>
              </w:rPr>
              <w:t>gross additions, churn, renewals against the price book, backlog</w:t>
            </w:r>
          </w:p>
        </w:tc>
      </w:tr>
      <w:tr>
        <w:tc>
          <w:tcPr>
            <w:tcW w:type="dxa" w:w="4680"/>
          </w:tcPr>
          <w:p>
            <w:pPr>
              <w:ind w:firstLine="0"/>
            </w:pPr>
            <w:r>
              <w:rPr>
                <w:rFonts w:ascii="Georgia" w:hAnsi="Georgia"/>
                <w:sz w:val="17"/>
              </w:rPr>
            </w:r>
            <w:r>
              <w:rPr>
                <w:rFonts w:ascii="Georgia" w:hAnsi="Georgia"/>
                <w:sz w:val="17"/>
              </w:rPr>
              <w:t>Service</w:t>
            </w:r>
          </w:p>
        </w:tc>
        <w:tc>
          <w:tcPr>
            <w:tcW w:type="dxa" w:w="4680"/>
          </w:tcPr>
          <w:p>
            <w:pPr>
              <w:ind w:firstLine="0"/>
            </w:pPr>
            <w:r>
              <w:rPr>
                <w:rFonts w:ascii="Georgia" w:hAnsi="Georgia"/>
                <w:sz w:val="17"/>
              </w:rPr>
            </w:r>
            <w:r>
              <w:rPr>
                <w:rFonts w:ascii="Georgia" w:hAnsi="Georgia"/>
                <w:sz w:val="17"/>
              </w:rPr>
              <w:t>availability per customer, kilowatt-weighted and by count of events; open incidents and corrective actions</w:t>
            </w:r>
          </w:p>
        </w:tc>
      </w:tr>
      <w:tr>
        <w:tc>
          <w:tcPr>
            <w:tcW w:type="dxa" w:w="4680"/>
          </w:tcPr>
          <w:p>
            <w:pPr>
              <w:ind w:firstLine="0"/>
            </w:pPr>
            <w:r>
              <w:rPr>
                <w:rFonts w:ascii="Georgia" w:hAnsi="Georgia"/>
                <w:sz w:val="17"/>
              </w:rPr>
            </w:r>
            <w:r>
              <w:rPr>
                <w:rFonts w:ascii="Georgia" w:hAnsi="Georgia"/>
                <w:sz w:val="17"/>
              </w:rPr>
              <w:t>Operations</w:t>
            </w:r>
          </w:p>
        </w:tc>
        <w:tc>
          <w:tcPr>
            <w:tcW w:type="dxa" w:w="4680"/>
          </w:tcPr>
          <w:p>
            <w:pPr>
              <w:ind w:firstLine="0"/>
            </w:pPr>
            <w:r>
              <w:rPr>
                <w:rFonts w:ascii="Georgia" w:hAnsi="Georgia"/>
                <w:sz w:val="17"/>
              </w:rPr>
            </w:r>
            <w:r>
              <w:rPr>
                <w:rFonts w:ascii="Georgia" w:hAnsi="Georgia"/>
                <w:sz w:val="17"/>
              </w:rPr>
              <w:t>preventive maintenance compliance; overdue backlog by criticality; changes by class; redundancy removed</w:t>
            </w:r>
          </w:p>
        </w:tc>
      </w:tr>
      <w:tr>
        <w:tc>
          <w:tcPr>
            <w:tcW w:type="dxa" w:w="4680"/>
          </w:tcPr>
          <w:p>
            <w:pPr>
              <w:ind w:firstLine="0"/>
            </w:pPr>
            <w:r>
              <w:rPr>
                <w:rFonts w:ascii="Georgia" w:hAnsi="Georgia"/>
                <w:sz w:val="17"/>
              </w:rPr>
            </w:r>
            <w:r>
              <w:rPr>
                <w:rFonts w:ascii="Georgia" w:hAnsi="Georgia"/>
                <w:sz w:val="17"/>
              </w:rPr>
              <w:t>Efficiency</w:t>
            </w:r>
          </w:p>
        </w:tc>
        <w:tc>
          <w:tcPr>
            <w:tcW w:type="dxa" w:w="4680"/>
          </w:tcPr>
          <w:p>
            <w:pPr>
              <w:ind w:firstLine="0"/>
            </w:pPr>
            <w:r>
              <w:rPr>
                <w:rFonts w:ascii="Georgia" w:hAnsi="Georgia"/>
                <w:sz w:val="17"/>
              </w:rPr>
            </w:r>
            <w:r>
              <w:rPr>
                <w:rFonts w:ascii="Georgia" w:hAnsi="Georgia"/>
                <w:sz w:val="17"/>
              </w:rPr>
              <w:t>PUE by building, month and trailing twelve months, with occupancy; energy margin and its variance</w:t>
            </w:r>
          </w:p>
        </w:tc>
      </w:tr>
      <w:tr>
        <w:tc>
          <w:tcPr>
            <w:tcW w:type="dxa" w:w="4680"/>
          </w:tcPr>
          <w:p>
            <w:pPr>
              <w:ind w:firstLine="0"/>
            </w:pPr>
            <w:r>
              <w:rPr>
                <w:rFonts w:ascii="Georgia" w:hAnsi="Georgia"/>
                <w:sz w:val="17"/>
              </w:rPr>
            </w:r>
            <w:r>
              <w:rPr>
                <w:rFonts w:ascii="Georgia" w:hAnsi="Georgia"/>
                <w:sz w:val="17"/>
              </w:rPr>
              <w:t>Money</w:t>
            </w:r>
          </w:p>
        </w:tc>
        <w:tc>
          <w:tcPr>
            <w:tcW w:type="dxa" w:w="4680"/>
          </w:tcPr>
          <w:p>
            <w:pPr>
              <w:ind w:firstLine="0"/>
            </w:pPr>
            <w:r>
              <w:rPr>
                <w:rFonts w:ascii="Georgia" w:hAnsi="Georgia"/>
                <w:sz w:val="17"/>
              </w:rPr>
            </w:r>
            <w:r>
              <w:rPr>
                <w:rFonts w:ascii="Georgia" w:hAnsi="Georgia"/>
                <w:sz w:val="17"/>
              </w:rPr>
              <w:t>recurring revenue, site EBITDA and capital spend against budget, with variances split by cause</w:t>
            </w:r>
          </w:p>
        </w:tc>
      </w:tr>
      <w:tr>
        <w:tc>
          <w:tcPr>
            <w:tcW w:type="dxa" w:w="4680"/>
          </w:tcPr>
          <w:p>
            <w:pPr>
              <w:ind w:firstLine="0"/>
            </w:pPr>
            <w:r>
              <w:rPr>
                <w:rFonts w:ascii="Georgia" w:hAnsi="Georgia"/>
                <w:sz w:val="17"/>
              </w:rPr>
            </w:r>
            <w:r>
              <w:rPr>
                <w:rFonts w:ascii="Georgia" w:hAnsi="Georgia"/>
                <w:sz w:val="17"/>
              </w:rPr>
              <w:t>Three lines</w:t>
            </w:r>
          </w:p>
        </w:tc>
        <w:tc>
          <w:tcPr>
            <w:tcW w:type="dxa" w:w="4680"/>
          </w:tcPr>
          <w:p>
            <w:pPr>
              <w:ind w:firstLine="0"/>
            </w:pPr>
            <w:r>
              <w:rPr>
                <w:rFonts w:ascii="Georgia" w:hAnsi="Georgia"/>
                <w:sz w:val="17"/>
              </w:rPr>
            </w:r>
            <w:r>
              <w:rPr>
                <w:rFonts w:ascii="Georgia" w:hAnsi="Georgia"/>
                <w:sz w:val="17"/>
              </w:rPr>
              <w:t>what went well, what went badly, what the site needs from the reader</w:t>
            </w:r>
          </w:p>
        </w:tc>
      </w:tr>
    </w:tbl>
    <w:p>
      <w:pPr>
        <w:spacing w:after="120"/>
      </w:pPr>
    </w:p>
    <w:p>
      <w:pPr>
        <w:pStyle w:val="Heading2"/>
      </w:pPr>
      <w:r>
        <w:t>Opening a hall</w:t>
      </w:r>
    </w:p>
    <w:p>
      <w:pPr>
        <w:spacing w:after="60"/>
        <w:ind w:left="432" w:hanging="259"/>
      </w:pPr>
      <w:r>
        <w:t xml:space="preserve">• </w:t>
      </w:r>
      <w:r>
        <w:t>A customer signed for space the conditioned halls cannot hold.</w:t>
      </w:r>
    </w:p>
    <w:p>
      <w:pPr>
        <w:spacing w:after="60"/>
        <w:ind w:left="432" w:hanging="259"/>
      </w:pPr>
      <w:r>
        <w:t xml:space="preserve">• </w:t>
      </w:r>
      <w:r>
        <w:t>Air handlers started and balanced; chilled water opened and verified; containment complete.</w:t>
      </w:r>
    </w:p>
    <w:p>
      <w:pPr>
        <w:spacing w:after="60"/>
        <w:ind w:left="432" w:hanging="259"/>
      </w:pPr>
      <w:r>
        <w:t xml:space="preserve">• </w:t>
      </w:r>
      <w:r>
        <w:t>Alarms proven point to point for the hall.</w:t>
      </w:r>
    </w:p>
    <w:p>
      <w:pPr>
        <w:spacing w:after="60"/>
        <w:ind w:left="432" w:hanging="259"/>
      </w:pPr>
      <w:r>
        <w:t xml:space="preserve">• </w:t>
      </w:r>
      <w:r>
        <w:t>Distribution tested under load banks, in steps, with no other maintenance on the building.</w:t>
      </w:r>
    </w:p>
    <w:p>
      <w:pPr>
        <w:spacing w:after="60"/>
        <w:ind w:left="432" w:hanging="259"/>
      </w:pPr>
      <w:r>
        <w:t xml:space="preserve">• </w:t>
      </w:r>
      <w:r>
        <w:t>Warranty status of the hall's equipment checked and claims made for anything that failed during idle time.</w:t>
      </w:r>
    </w:p>
    <w:p>
      <w:pPr>
        <w:spacing w:after="60"/>
        <w:ind w:left="432" w:hanging="259"/>
      </w:pPr>
      <w:r>
        <w:t xml:space="preserve">• </w:t>
      </w:r>
      <w:r>
        <w:t>Capacity record opened for the hall; facility rules posted; customer operations briefed.</w:t>
      </w:r>
    </w:p>
    <w:p>
      <w:pPr>
        <w:pStyle w:val="Heading2"/>
      </w:pPr>
      <w:r>
        <w:t>Lender appendix: contents</w:t>
      </w:r>
    </w:p>
    <w:p>
      <w:pPr>
        <w:spacing w:after="60"/>
        <w:ind w:left="432" w:hanging="259"/>
      </w:pPr>
      <w:r>
        <w:t xml:space="preserve">• </w:t>
      </w:r>
      <w:r>
        <w:t>Covenant calculation: EBITDA, lifecycle reserve, cash flow available for debt service, debt service, DSCR, and the distance to lock-up and default.</w:t>
      </w:r>
    </w:p>
    <w:p>
      <w:pPr>
        <w:spacing w:after="60"/>
        <w:ind w:left="432" w:hanging="259"/>
      </w:pPr>
      <w:r>
        <w:t xml:space="preserve">• </w:t>
      </w:r>
      <w:r>
        <w:t>Concentration: largest customer and top five as a share of recurring revenue.</w:t>
      </w:r>
    </w:p>
    <w:p>
      <w:pPr>
        <w:spacing w:after="60"/>
        <w:ind w:left="432" w:hanging="259"/>
      </w:pPr>
      <w:r>
        <w:t xml:space="preserve">• </w:t>
      </w:r>
      <w:r>
        <w:t>Renewals in the next twenty-four months.</w:t>
      </w:r>
    </w:p>
    <w:p>
      <w:pPr>
        <w:spacing w:after="60"/>
        <w:ind w:left="432" w:hanging="259"/>
      </w:pPr>
      <w:r>
        <w:t xml:space="preserve">• </w:t>
      </w:r>
      <w:r>
        <w:t>Incidents affecting customers, credits and root causes.</w:t>
      </w:r>
    </w:p>
    <w:p>
      <w:pPr>
        <w:spacing w:after="60"/>
        <w:ind w:left="432" w:hanging="259"/>
      </w:pPr>
      <w:r>
        <w:t xml:space="preserve">• </w:t>
      </w:r>
      <w:r>
        <w:t>Lifecycle reserve balance and capital projects.</w:t>
      </w:r>
    </w:p>
    <w:p>
      <w:pPr>
        <w:spacing w:after="60"/>
        <w:ind w:left="432" w:hanging="259"/>
      </w:pPr>
      <w:r>
        <w:t xml:space="preserve">• </w:t>
      </w:r>
      <w:r>
        <w:t>Insurance renewals, changes and claims.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eorgia" w:hAnsi="Georgia" w:cs="Georgia" w:eastAsia="Georgia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8" w:lineRule="auto" w:after="0"/>
      <w:ind w:firstLine="317"/>
    </w:pPr>
    <w:rPr>
      <w:rFonts w:ascii="Georgia" w:hAnsi="Georgia" w:eastAsia="Georgia" w:cs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360"/>
      <w:ind w:firstLine="0"/>
      <w:outlineLvl w:val="0"/>
    </w:pPr>
    <w:rPr>
      <w:rFonts w:ascii="Georgia" w:hAnsi="Georgia" w:cs="Georgia" w:eastAsia="Georgia"/>
      <w:b/>
      <w:bCs/>
      <w:color w:val="1F2933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40"/>
      <w:ind w:firstLine="0"/>
      <w:outlineLvl w:val="1"/>
    </w:pPr>
    <w:rPr>
      <w:rFonts w:ascii="Georgia" w:hAnsi="Georgia" w:cs="Georgia" w:eastAsia="Georgia"/>
      <w:b/>
      <w:bCs/>
      <w:color w:val="1F2933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ind w:firstLine="0"/>
      <w:outlineLvl w:val="2"/>
    </w:pPr>
    <w:rPr>
      <w:rFonts w:ascii="Georgia" w:hAnsi="Georgia" w:cs="Georgia" w:eastAsia="Georgia"/>
      <w:b/>
      <w:bCs/>
      <w:color w:val="1F293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Operating Checklists and Templates</dc:title>
  <dc:subject>Companion to The Data Center Operations Handbook</dc:subject>
  <dc:creator>Julian R. Sterling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