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Formation Checklist and Timeline</w:t>
      </w:r>
    </w:p>
    <w:p>
      <w:r>
        <w:rPr>
          <w:b w:val="0"/>
        </w:rPr>
        <w:t>This appendix turns the book into a working list. It follows the launch phase by phase and names an owner for each item, using the roles from chapter 16. Case figures come from Harrow Peak. Regulatory items are general and dated, and a real launch needs counsel in each jurisdiction. Several of these items are still changing as of 2026.</w:t>
      </w:r>
    </w:p>
    <w:p>
      <w:pPr>
        <w:pStyle w:val="Heading2"/>
      </w:pPr>
      <w:r>
        <w:t>Decision</w:t>
      </w:r>
    </w:p>
    <w:p>
      <w:pPr>
        <w:spacing w:after="60"/>
        <w:ind w:left="240"/>
      </w:pPr>
      <w:r>
        <w:rPr>
          <w:b w:val="0"/>
        </w:rPr>
        <w:t>☐ Fix the strategy, the target size and the hard cap. In the case these are $400 million and $500 million. Owner: founders.</w:t>
      </w:r>
    </w:p>
    <w:p>
      <w:pPr>
        <w:spacing w:after="60"/>
        <w:ind w:left="240"/>
      </w:pPr>
      <w:r>
        <w:rPr>
          <w:b w:val="0"/>
        </w:rPr>
        <w:t>☐ Check notice periods, garden leave and non-solicitation terms with the former firm. Owner: founders, with fund counsel.</w:t>
      </w:r>
    </w:p>
    <w:p>
      <w:pPr>
        <w:spacing w:after="60"/>
        <w:ind w:left="240"/>
      </w:pPr>
      <w:r>
        <w:rPr>
          <w:b w:val="0"/>
        </w:rPr>
        <w:t>☐ Document an attributable track record and how to support it. Owner: founders, investor relations.</w:t>
      </w:r>
    </w:p>
    <w:p>
      <w:pPr>
        <w:spacing w:after="60"/>
        <w:ind w:left="240"/>
      </w:pPr>
      <w:r>
        <w:rPr>
          <w:b w:val="0"/>
        </w:rPr>
        <w:t>☐ Budget the founders' cash: the working capital behind the first-year accounting loss ($2.14 million in the case; less at year end in cash, but the peak need before the first capital call is higher, because the manager advances the organizational expenses until the fund reimburses them) plus the GP commitment as it is called. Owner: CFO-COO.</w:t>
      </w:r>
    </w:p>
    <w:p>
      <w:pPr>
        <w:spacing w:after="60"/>
        <w:ind w:left="240"/>
      </w:pPr>
      <w:r>
        <w:rPr>
          <w:b w:val="0"/>
        </w:rPr>
        <w:t>☐ Build the workstream map, with an owner and dates for each workstream. Owner: CFO-COO.</w:t>
      </w:r>
    </w:p>
    <w:p>
      <w:pPr>
        <w:spacing w:after="60"/>
        <w:ind w:left="240"/>
      </w:pPr>
      <w:r>
        <w:rPr>
          <w:b w:val="0"/>
        </w:rPr>
        <w:t>☐ Hold informal conversations with a possible anchor and with existing relationships. Owner: founders.</w:t>
      </w:r>
    </w:p>
    <w:p>
      <w:pPr>
        <w:pStyle w:val="Heading2"/>
      </w:pPr>
      <w:r>
        <w:t>Entities</w:t>
      </w:r>
    </w:p>
    <w:p>
      <w:pPr>
        <w:spacing w:after="60"/>
        <w:ind w:left="240"/>
      </w:pPr>
      <w:r>
        <w:rPr>
          <w:b w:val="0"/>
        </w:rPr>
        <w:t>☐ Form the management company and the GP entity. Harrow Peak formed both in Delaware on 1 February 2025. Owner: fund counsel.</w:t>
      </w:r>
    </w:p>
    <w:p>
      <w:pPr>
        <w:spacing w:after="60"/>
        <w:ind w:left="240"/>
      </w:pPr>
      <w:r>
        <w:rPr>
          <w:b w:val="0"/>
        </w:rPr>
        <w:t>☐ Fix the structure chart: Delaware main fund, Cayman feeder, Luxembourg SCSp as a RAIF. Owner: fund counsel and tax adviser.</w:t>
      </w:r>
    </w:p>
    <w:p>
      <w:pPr>
        <w:spacing w:after="60"/>
        <w:ind w:left="240"/>
      </w:pPr>
      <w:r>
        <w:rPr>
          <w:b w:val="0"/>
        </w:rPr>
        <w:t>☐ Form the Cayman exempted limited partnership and register the Delaware GP in the Cayman Islands as a foreign company. Owner: Cayman counsel.</w:t>
      </w:r>
    </w:p>
    <w:p>
      <w:pPr>
        <w:spacing w:after="60"/>
        <w:ind w:left="240"/>
      </w:pPr>
      <w:r>
        <w:rPr>
          <w:b w:val="0"/>
        </w:rPr>
        <w:t>☐ Form the Luxembourg GP and the SCSp, and register the SCSp on the official list of RAIFs before any marketing notification is filed. Owner: Luxembourg counsel.</w:t>
      </w:r>
    </w:p>
    <w:p>
      <w:pPr>
        <w:spacing w:after="60"/>
        <w:ind w:left="240"/>
      </w:pPr>
      <w:r>
        <w:rPr>
          <w:b w:val="0"/>
        </w:rPr>
        <w:t>☐ Form the carry vehicle and draft the carry plan with vesting and leaver terms. Owner: fund counsel, CFO-COO.</w:t>
      </w:r>
    </w:p>
    <w:p>
      <w:pPr>
        <w:spacing w:after="60"/>
        <w:ind w:left="240"/>
      </w:pPr>
      <w:r>
        <w:rPr>
          <w:b w:val="0"/>
        </w:rPr>
        <w:t>☐ Agree how AIVs and blockers will be used when a deal would produce ECI or UBTI. Owner: tax adviser.</w:t>
      </w:r>
    </w:p>
    <w:p>
      <w:pPr>
        <w:spacing w:after="60"/>
        <w:ind w:left="240"/>
      </w:pPr>
      <w:r>
        <w:rPr>
          <w:b w:val="0"/>
        </w:rPr>
        <w:t>☐ Diary the Delaware annual tax: $300 per limited partnership or LLC, due 1 June (as of 2026). Owner: CFO-COO.</w:t>
      </w:r>
    </w:p>
    <w:p>
      <w:pPr>
        <w:pStyle w:val="Heading2"/>
      </w:pPr>
      <w:r>
        <w:t>Terms</w:t>
      </w:r>
    </w:p>
    <w:p>
      <w:pPr>
        <w:spacing w:after="60"/>
        <w:ind w:left="240"/>
      </w:pPr>
      <w:r>
        <w:rPr>
          <w:b w:val="0"/>
        </w:rPr>
        <w:t>☐ Set the management fee and its basis. In the case: 2.0 percent on commitments, then 1.5 percent on net invested capital, with the anchor at 1.75 percent and 1.25 percent. Owner: founders, fund counsel.</w:t>
      </w:r>
    </w:p>
    <w:p>
      <w:pPr>
        <w:spacing w:after="60"/>
        <w:ind w:left="240"/>
      </w:pPr>
      <w:r>
        <w:rPr>
          <w:b w:val="0"/>
        </w:rPr>
        <w:t>☐ Set the cap on organizational expenses ($1.75 million in the case) and decide who bears any excess. Owner: CFO-COO.</w:t>
      </w:r>
    </w:p>
    <w:p>
      <w:pPr>
        <w:spacing w:after="60"/>
        <w:ind w:left="240"/>
      </w:pPr>
      <w:r>
        <w:rPr>
          <w:b w:val="0"/>
        </w:rPr>
        <w:t>☐ Set the carry design: 20 percent, an 8 percent preferred return, a whole-of-fund waterfall, a 30 percent escrow and a clawback. Owner: founders, tax adviser.</w:t>
      </w:r>
    </w:p>
    <w:p>
      <w:pPr>
        <w:spacing w:after="60"/>
        <w:ind w:left="240"/>
      </w:pPr>
      <w:r>
        <w:rPr>
          <w:b w:val="0"/>
        </w:rPr>
        <w:t>☐ Size and fund the GP commitment. In the case it is $8.4 million, 2.0 percent of commitments, paid in cash with no fee waiver. Owner: founders.</w:t>
      </w:r>
    </w:p>
    <w:p>
      <w:pPr>
        <w:spacing w:after="60"/>
        <w:ind w:left="240"/>
      </w:pPr>
      <w:r>
        <w:rPr>
          <w:b w:val="0"/>
        </w:rPr>
        <w:t>☐ Draft the key person, no-fault and for-cause terms, plus a five-member LPAC. Owner: fund counsel.</w:t>
      </w:r>
    </w:p>
    <w:p>
      <w:pPr>
        <w:spacing w:after="60"/>
        <w:ind w:left="240"/>
      </w:pPr>
      <w:r>
        <w:rPr>
          <w:b w:val="0"/>
        </w:rPr>
        <w:t>☐ Fix the closing period and the equalization interest (12 months and 8 percent in the case). Owner: fund counsel.</w:t>
      </w:r>
    </w:p>
    <w:p>
      <w:pPr>
        <w:spacing w:after="60"/>
        <w:ind w:left="240"/>
      </w:pPr>
      <w:r>
        <w:rPr>
          <w:b w:val="0"/>
        </w:rPr>
        <w:t>☐ Model the management company over ten years before the term sheet goes out. Owner: CFO-COO.</w:t>
      </w:r>
    </w:p>
    <w:p>
      <w:pPr>
        <w:pStyle w:val="Heading2"/>
      </w:pPr>
      <w:r>
        <w:t>Documents</w:t>
      </w:r>
    </w:p>
    <w:p>
      <w:pPr>
        <w:spacing w:after="60"/>
        <w:ind w:left="240"/>
      </w:pPr>
      <w:r>
        <w:rPr>
          <w:b w:val="0"/>
        </w:rPr>
        <w:t>☐ Prepare the PPM, the LPA and the subscription documents. Harrow Peak had drafts in April 2025. Owner: fund counsel.</w:t>
      </w:r>
    </w:p>
    <w:p>
      <w:pPr>
        <w:spacing w:after="60"/>
        <w:ind w:left="240"/>
      </w:pPr>
      <w:r>
        <w:rPr>
          <w:b w:val="0"/>
        </w:rPr>
        <w:t>☐ Prepare the Cayman offering memorandum and the feeder documents. Owner: Cayman counsel.</w:t>
      </w:r>
    </w:p>
    <w:p>
      <w:pPr>
        <w:spacing w:after="60"/>
        <w:ind w:left="240"/>
      </w:pPr>
      <w:r>
        <w:rPr>
          <w:b w:val="0"/>
        </w:rPr>
        <w:t>☐ Prepare the Luxembourg offering document and the AIFM and depositary agreements. Owner: Luxembourg counsel.</w:t>
      </w:r>
    </w:p>
    <w:p>
      <w:pPr>
        <w:spacing w:after="60"/>
        <w:ind w:left="240"/>
      </w:pPr>
      <w:r>
        <w:rPr>
          <w:b w:val="0"/>
        </w:rPr>
        <w:t>☐ Draft the investment advisory agreement, the GP agreements and the carry vehicle agreements. Owner: fund counsel.</w:t>
      </w:r>
    </w:p>
    <w:p>
      <w:pPr>
        <w:spacing w:after="60"/>
        <w:ind w:left="240"/>
      </w:pPr>
      <w:r>
        <w:rPr>
          <w:b w:val="0"/>
        </w:rPr>
        <w:t>☐ Build the DDQ and the data room, with version control. Owner: investor relations, CFO-COO.</w:t>
      </w:r>
    </w:p>
    <w:p>
      <w:pPr>
        <w:spacing w:after="60"/>
        <w:ind w:left="240"/>
      </w:pPr>
      <w:r>
        <w:rPr>
          <w:b w:val="0"/>
        </w:rPr>
        <w:t>☐ Check that the pitch deck matches the PPM. Owner: investor relations, fund counsel.</w:t>
      </w:r>
    </w:p>
    <w:p>
      <w:pPr>
        <w:spacing w:after="60"/>
        <w:ind w:left="240"/>
      </w:pPr>
      <w:r>
        <w:rPr>
          <w:b w:val="0"/>
        </w:rPr>
        <w:t>☐ Open a side letter tracker and an MFN log. Owner: fund counsel.</w:t>
      </w:r>
    </w:p>
    <w:p>
      <w:pPr>
        <w:pStyle w:val="Heading2"/>
      </w:pPr>
      <w:r>
        <w:t>Providers</w:t>
      </w:r>
    </w:p>
    <w:p>
      <w:pPr>
        <w:spacing w:after="60"/>
        <w:ind w:left="240"/>
      </w:pPr>
      <w:r>
        <w:rPr>
          <w:b w:val="0"/>
        </w:rPr>
        <w:t>☐ Run requests for proposal, take references, compare fee quotes and check conflicts. Owner: CFO-COO.</w:t>
      </w:r>
    </w:p>
    <w:p>
      <w:pPr>
        <w:spacing w:after="60"/>
        <w:ind w:left="240"/>
      </w:pPr>
      <w:r>
        <w:rPr>
          <w:b w:val="0"/>
        </w:rPr>
        <w:t>☐ Sign engagement letters with fee estimates. Legal is the largest line of the budget. Owner: CFO-COO.</w:t>
      </w:r>
    </w:p>
    <w:p>
      <w:pPr>
        <w:spacing w:after="60"/>
        <w:ind w:left="240"/>
      </w:pPr>
      <w:r>
        <w:rPr>
          <w:b w:val="0"/>
        </w:rPr>
        <w:t>☐ Onboard one administrator for all three vehicles. Owner: administrator.</w:t>
      </w:r>
    </w:p>
    <w:p>
      <w:pPr>
        <w:spacing w:after="60"/>
        <w:ind w:left="240"/>
      </w:pPr>
      <w:r>
        <w:rPr>
          <w:b w:val="0"/>
        </w:rPr>
        <w:t>☐ Appoint the auditor. The Cayman feeder needs a CIMA-approved auditor with a Cayman office. Owner: CFO-COO, auditor.</w:t>
      </w:r>
    </w:p>
    <w:p>
      <w:pPr>
        <w:spacing w:after="60"/>
        <w:ind w:left="240"/>
      </w:pPr>
      <w:r>
        <w:rPr>
          <w:b w:val="0"/>
        </w:rPr>
        <w:t>☐ Open bank accounts for each vehicle and clear the bank's KYC. Owner: CFO-COO, administrator.</w:t>
      </w:r>
    </w:p>
    <w:p>
      <w:pPr>
        <w:spacing w:after="60"/>
        <w:ind w:left="240"/>
      </w:pPr>
      <w:r>
        <w:rPr>
          <w:b w:val="0"/>
        </w:rPr>
        <w:t>☐ Complete the AIFM's and the depositary's due diligence on the delegate manager. Harrow Peak chose its AIFM in April 2025. Owner: AIFM, depositary.</w:t>
      </w:r>
    </w:p>
    <w:p>
      <w:pPr>
        <w:pStyle w:val="Heading2"/>
      </w:pPr>
      <w:r>
        <w:t>US regulation</w:t>
      </w:r>
    </w:p>
    <w:p>
      <w:pPr>
        <w:spacing w:after="60"/>
        <w:ind w:left="240"/>
      </w:pPr>
      <w:r>
        <w:rPr>
          <w:b w:val="0"/>
        </w:rPr>
        <w:t>☐ Decide between exempt reporting adviser status and registration. Harrow Peak filed Form ADV in May 2025, relying on the rule for newly formed advisers that expect to become eligible within 120 days. Owner: fund counsel, CFO-COO.</w:t>
      </w:r>
    </w:p>
    <w:p>
      <w:pPr>
        <w:spacing w:after="60"/>
        <w:ind w:left="240"/>
      </w:pPr>
      <w:r>
        <w:rPr>
          <w:b w:val="0"/>
        </w:rPr>
        <w:t>☐ Adopt a compliance manual and policies, and appoint a chief compliance officer (outsourced in the case). Owner: CFO-COO.</w:t>
      </w:r>
    </w:p>
    <w:p>
      <w:pPr>
        <w:spacing w:after="60"/>
        <w:ind w:left="240"/>
      </w:pPr>
      <w:r>
        <w:rPr>
          <w:b w:val="0"/>
        </w:rPr>
        <w:t>☐ Choose Rule 506(b) or Rule 506(c), and confirm that investors are accredited investors and qualified purchasers. Owner: fund counsel.</w:t>
      </w:r>
    </w:p>
    <w:p>
      <w:pPr>
        <w:spacing w:after="60"/>
        <w:ind w:left="240"/>
      </w:pPr>
      <w:r>
        <w:rPr>
          <w:b w:val="0"/>
        </w:rPr>
        <w:t>☐ Confirm which investment company exclusion each vehicle relies on. Owner: fund counsel.</w:t>
      </w:r>
    </w:p>
    <w:p>
      <w:pPr>
        <w:spacing w:after="60"/>
        <w:ind w:left="240"/>
      </w:pPr>
      <w:r>
        <w:rPr>
          <w:b w:val="0"/>
        </w:rPr>
        <w:t>☐ Diary the annual Form ADV amendment, due within 90 days of fiscal year end. Owner: CFO-COO.</w:t>
      </w:r>
    </w:p>
    <w:p>
      <w:pPr>
        <w:spacing w:after="60"/>
        <w:ind w:left="240"/>
      </w:pPr>
      <w:r>
        <w:rPr>
          <w:b w:val="0"/>
        </w:rPr>
        <w:t>☐ Track dates that are still changing: as of September 2026, Form PF compliance is due 1 July 2027 and the FinCEN AML rule takes effect 1 January 2028. Owner: CFO-COO.</w:t>
      </w:r>
    </w:p>
    <w:p>
      <w:pPr>
        <w:pStyle w:val="Heading2"/>
      </w:pPr>
      <w:r>
        <w:t>EU and Cayman</w:t>
      </w:r>
    </w:p>
    <w:p>
      <w:pPr>
        <w:spacing w:after="60"/>
        <w:ind w:left="240"/>
      </w:pPr>
      <w:r>
        <w:rPr>
          <w:b w:val="0"/>
        </w:rPr>
        <w:t>☐ Have the authorized AIFM run pre-marketing, with the founders presenting the strategy in its meetings, and notify the CSSF within two weeks of starting (rules applicable since 2 August 2021). Valmont started pre-marketing in May 2025 and notified the CSSF within two weeks. Owner: Valmont (the authorized AIFM), with the founders presenting.</w:t>
      </w:r>
    </w:p>
    <w:p>
      <w:pPr>
        <w:spacing w:after="60"/>
        <w:ind w:left="240"/>
      </w:pPr>
      <w:r>
        <w:rPr>
          <w:b w:val="0"/>
        </w:rPr>
        <w:t>☐ Keep subscription forms out of all pre-marketing material. Owner: Valmont (the authorized AIFM), with fund counsel.</w:t>
      </w:r>
    </w:p>
    <w:p>
      <w:pPr>
        <w:spacing w:after="60"/>
        <w:ind w:left="240"/>
      </w:pPr>
      <w:r>
        <w:rPr>
          <w:b w:val="0"/>
        </w:rPr>
        <w:t>☐ File the marketing notification for the SCSp under the passport. Valmont filed in July 2025; the CSSF transmitted it within the 20 working days allowed, and marketing under the passport started in August 2025. Owner: Valmont (the authorized AIFM), Luxembourg counsel.</w:t>
      </w:r>
    </w:p>
    <w:p>
      <w:pPr>
        <w:spacing w:after="60"/>
        <w:ind w:left="240"/>
      </w:pPr>
      <w:r>
        <w:rPr>
          <w:b w:val="0"/>
        </w:rPr>
        <w:t>☐ Check the national private placement regime country by country before offering any non-EU vehicle in Europe. Owner: fund counsel, Luxembourg counsel.</w:t>
      </w:r>
    </w:p>
    <w:p>
      <w:pPr>
        <w:spacing w:after="60"/>
        <w:ind w:left="240"/>
      </w:pPr>
      <w:r>
        <w:rPr>
          <w:b w:val="0"/>
        </w:rPr>
        <w:t>☐ Prepare the CIMA registration so that it can be filed within 21 days of accepting commitments. Owner: Cayman counsel.</w:t>
      </w:r>
    </w:p>
    <w:p>
      <w:pPr>
        <w:pStyle w:val="Heading2"/>
      </w:pPr>
      <w:r>
        <w:t>First close</w:t>
      </w:r>
    </w:p>
    <w:p>
      <w:pPr>
        <w:spacing w:after="60"/>
        <w:ind w:left="240"/>
      </w:pPr>
      <w:r>
        <w:rPr>
          <w:b w:val="0"/>
        </w:rPr>
        <w:t>☐ Collect signed subscriptions, and countersign them along with any side letters. Owner: fund counsel.</w:t>
      </w:r>
    </w:p>
    <w:p>
      <w:pPr>
        <w:spacing w:after="60"/>
        <w:ind w:left="240"/>
      </w:pPr>
      <w:r>
        <w:rPr>
          <w:b w:val="0"/>
        </w:rPr>
        <w:t>☐ Clear KYC and AML for every investor. Owner: administrator.</w:t>
      </w:r>
    </w:p>
    <w:p>
      <w:pPr>
        <w:spacing w:after="60"/>
        <w:ind w:left="240"/>
      </w:pPr>
      <w:r>
        <w:rPr>
          <w:b w:val="0"/>
        </w:rPr>
        <w:t>☐ Subscribe the GP commitment. Owner: founders.</w:t>
      </w:r>
    </w:p>
    <w:p>
      <w:pPr>
        <w:spacing w:after="60"/>
        <w:ind w:left="240"/>
      </w:pPr>
      <w:r>
        <w:rPr>
          <w:b w:val="0"/>
        </w:rPr>
        <w:t>☐ Confirm the anchor's LPAC seat and MFN rights. Owner: fund counsel.</w:t>
      </w:r>
    </w:p>
    <w:p>
      <w:pPr>
        <w:spacing w:after="60"/>
        <w:ind w:left="240"/>
      </w:pPr>
      <w:r>
        <w:rPr>
          <w:b w:val="0"/>
        </w:rPr>
        <w:t>☐ Issue the closing notice and the register by vehicle. Harrow Peak's first close was $260 million on 30 September 2025. Owner: administrator.</w:t>
      </w:r>
    </w:p>
    <w:p>
      <w:pPr>
        <w:pStyle w:val="Heading2"/>
      </w:pPr>
      <w:r>
        <w:t>After first close</w:t>
      </w:r>
    </w:p>
    <w:p>
      <w:pPr>
        <w:spacing w:after="60"/>
        <w:ind w:left="240"/>
      </w:pPr>
      <w:r>
        <w:rPr>
          <w:b w:val="0"/>
        </w:rPr>
        <w:t>☐ File Form D within 15 calendar days of the first sale, and file the state notices. Owner: fund counsel.</w:t>
      </w:r>
    </w:p>
    <w:p>
      <w:pPr>
        <w:spacing w:after="60"/>
        <w:ind w:left="240"/>
      </w:pPr>
      <w:r>
        <w:rPr>
          <w:b w:val="0"/>
        </w:rPr>
        <w:t>☐ Register the Cayman feeder with CIMA within 21 days. Owner: Cayman counsel.</w:t>
      </w:r>
    </w:p>
    <w:p>
      <w:pPr>
        <w:spacing w:after="60"/>
        <w:ind w:left="240"/>
      </w:pPr>
      <w:r>
        <w:rPr>
          <w:b w:val="0"/>
        </w:rPr>
        <w:t>☐ Issue the first capital call. At Harrow Peak, the first capital call, funds due 15 October 2025, covered the $1.75 million of organizational expenses and a first fee of $2.42 million. Owner: administrator, fund controller.</w:t>
      </w:r>
    </w:p>
    <w:p>
      <w:pPr>
        <w:spacing w:after="60"/>
        <w:ind w:left="240"/>
      </w:pPr>
      <w:r>
        <w:rPr>
          <w:b w:val="0"/>
        </w:rPr>
        <w:t>☐ Hire the fund controller (October 2025 in the case). Owner: CFO-COO.</w:t>
      </w:r>
    </w:p>
    <w:p>
      <w:pPr>
        <w:spacing w:after="60"/>
        <w:ind w:left="240"/>
      </w:pPr>
      <w:r>
        <w:rPr>
          <w:b w:val="0"/>
        </w:rPr>
        <w:t>☐ Close the first investment: Northline Packaging, 10 December 2025. Owner: founders.</w:t>
      </w:r>
    </w:p>
    <w:p>
      <w:pPr>
        <w:pStyle w:val="Heading2"/>
      </w:pPr>
      <w:r>
        <w:t>Later closes</w:t>
      </w:r>
    </w:p>
    <w:p>
      <w:pPr>
        <w:spacing w:after="60"/>
        <w:ind w:left="240"/>
      </w:pPr>
      <w:r>
        <w:rPr>
          <w:b w:val="0"/>
        </w:rPr>
        <w:t>☐ Compute the equalization. At the second close it was $17.32 million, plus $0.30 million of interest and a $1.00 million fee catch-up, for a total of $18.62 million. Owner: administrator, fund controller.</w:t>
      </w:r>
    </w:p>
    <w:p>
      <w:pPr>
        <w:spacing w:after="60"/>
        <w:ind w:left="240"/>
      </w:pPr>
      <w:r>
        <w:rPr>
          <w:b w:val="0"/>
        </w:rPr>
        <w:t>☐ Rebalance the three vehicles at cost. Owner: administrator, AIFM.</w:t>
      </w:r>
    </w:p>
    <w:p>
      <w:pPr>
        <w:spacing w:after="60"/>
        <w:ind w:left="240"/>
      </w:pPr>
      <w:r>
        <w:rPr>
          <w:b w:val="0"/>
        </w:rPr>
        <w:t>☐ Update the side letter tracker and the investor register. Owner: fund counsel, administrator.</w:t>
      </w:r>
    </w:p>
    <w:p>
      <w:pPr>
        <w:spacing w:after="60"/>
        <w:ind w:left="240"/>
      </w:pPr>
      <w:r>
        <w:rPr>
          <w:b w:val="0"/>
        </w:rPr>
        <w:t>☐ File any Form D amendment that is due, at least annually while the offering continues. Owner: fund counsel.</w:t>
      </w:r>
    </w:p>
    <w:p>
      <w:pPr>
        <w:spacing w:after="60"/>
        <w:ind w:left="240"/>
      </w:pPr>
      <w:r>
        <w:rPr>
          <w:b w:val="0"/>
        </w:rPr>
        <w:t>☐ Seek LPAC consent if the final close will fall more than 12 months after the first close. Owner: founders.</w:t>
      </w:r>
    </w:p>
    <w:p>
      <w:pPr>
        <w:pStyle w:val="Heading2"/>
      </w:pPr>
      <w:r>
        <w:t>Final close</w:t>
      </w:r>
    </w:p>
    <w:p>
      <w:pPr>
        <w:spacing w:after="60"/>
        <w:ind w:left="240"/>
      </w:pPr>
      <w:r>
        <w:rPr>
          <w:b w:val="0"/>
        </w:rPr>
        <w:t>☐ Hold the final close by the LPA deadline. Harrow Peak closed $60.0 million on 30 September 2026, bringing the fund to $420 million. Owner: founders.</w:t>
      </w:r>
    </w:p>
    <w:p>
      <w:pPr>
        <w:spacing w:after="60"/>
        <w:ind w:left="240"/>
      </w:pPr>
      <w:r>
        <w:rPr>
          <w:b w:val="0"/>
        </w:rPr>
        <w:t>☐ Compute the final equalization ($15.74 million in the case). Owner: administrator.</w:t>
      </w:r>
    </w:p>
    <w:p>
      <w:pPr>
        <w:spacing w:after="60"/>
        <w:ind w:left="240"/>
      </w:pPr>
      <w:r>
        <w:rPr>
          <w:b w:val="0"/>
        </w:rPr>
        <w:t>☐ Run the MFN election process. Owner: fund counsel, investor relations.</w:t>
      </w:r>
    </w:p>
    <w:p>
      <w:pPr>
        <w:spacing w:after="60"/>
        <w:ind w:left="240"/>
      </w:pPr>
      <w:r>
        <w:rPr>
          <w:b w:val="0"/>
        </w:rPr>
        <w:t>☐ Archive the executed documents and close the data room. Owner: investor relations.</w:t>
      </w:r>
    </w:p>
    <w:p>
      <w:pPr>
        <w:spacing w:after="60"/>
        <w:ind w:left="240"/>
      </w:pPr>
      <w:r>
        <w:rPr>
          <w:b w:val="0"/>
        </w:rPr>
        <w:t>☐ Hand over to operations, including reporting in the ILPA template 2.0 format that applies from Q1 2026. Owner: fund controller.</w:t>
      </w:r>
    </w:p>
    <w:p>
      <w:pPr>
        <w:pStyle w:val="Heading2"/>
      </w:pPr>
      <w:r>
        <w:t>The 20-month timeline at Harrow Peak</w:t>
      </w:r>
    </w:p>
    <w:p>
      <w:r>
        <w:rPr>
          <w:b w:val="0"/>
        </w:rPr>
        <w:t>The fund took 8 months from forming the management company to first close, then 12 more months to final close.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Month</w:t>
            </w:r>
          </w:p>
        </w:tc>
        <w:tc>
          <w:tcPr>
            <w:tcW w:type="dxa" w:w="2160"/>
          </w:tcPr>
          <w:p>
            <w:r>
              <w:t>Date</w:t>
            </w:r>
          </w:p>
        </w:tc>
        <w:tc>
          <w:tcPr>
            <w:tcW w:type="dxa" w:w="2160"/>
          </w:tcPr>
          <w:p>
            <w:r>
              <w:t>Milestone</w:t>
            </w:r>
          </w:p>
        </w:tc>
        <w:tc>
          <w:tcPr>
            <w:tcW w:type="dxa" w:w="2160"/>
          </w:tcPr>
          <w:p>
            <w:r>
              <w:t>Lead</w:t>
            </w:r>
          </w:p>
        </w:tc>
      </w:tr>
      <w:tr>
        <w:tc>
          <w:tcPr>
            <w:tcW w:type="dxa" w:w="2160"/>
          </w:tcPr>
          <w:p>
            <w:r>
              <w:t>Before month 1</w:t>
            </w:r>
          </w:p>
        </w:tc>
        <w:tc>
          <w:tcPr>
            <w:tcW w:type="dxa" w:w="2160"/>
          </w:tcPr>
          <w:p>
            <w:r>
              <w:t>November 2024 to January 2025</w:t>
            </w:r>
          </w:p>
        </w:tc>
        <w:tc>
          <w:tcPr>
            <w:tcW w:type="dxa" w:w="2160"/>
          </w:tcPr>
          <w:p>
            <w:r>
              <w:t>Founders resign; garden leave</w:t>
            </w:r>
          </w:p>
        </w:tc>
        <w:tc>
          <w:tcPr>
            <w:tcW w:type="dxa" w:w="2160"/>
          </w:tcPr>
          <w:p>
            <w:r>
              <w:t>Founders</w:t>
            </w:r>
          </w:p>
        </w:tc>
      </w:tr>
      <w:tr>
        <w:tc>
          <w:tcPr>
            <w:tcW w:type="dxa" w:w="2160"/>
          </w:tcPr>
          <w:p>
            <w:r>
              <w:t>1</w:t>
            </w:r>
          </w:p>
        </w:tc>
        <w:tc>
          <w:tcPr>
            <w:tcW w:type="dxa" w:w="2160"/>
          </w:tcPr>
          <w:p>
            <w:r>
              <w:t>February 2025</w:t>
            </w:r>
          </w:p>
        </w:tc>
        <w:tc>
          <w:tcPr>
            <w:tcW w:type="dxa" w:w="2160"/>
          </w:tcPr>
          <w:p>
            <w:r>
              <w:t>Management company and GP formed in Delaware; provider selection begins</w:t>
            </w:r>
          </w:p>
        </w:tc>
        <w:tc>
          <w:tcPr>
            <w:tcW w:type="dxa" w:w="2160"/>
          </w:tcPr>
          <w:p>
            <w:r>
              <w:t>Fund counsel, CFO-COO</w:t>
            </w:r>
          </w:p>
        </w:tc>
      </w:tr>
      <w:tr>
        <w:tc>
          <w:tcPr>
            <w:tcW w:type="dxa" w:w="2160"/>
          </w:tcPr>
          <w:p>
            <w:r>
              <w:t>3</w:t>
            </w:r>
          </w:p>
        </w:tc>
        <w:tc>
          <w:tcPr>
            <w:tcW w:type="dxa" w:w="2160"/>
          </w:tcPr>
          <w:p>
            <w:r>
              <w:t>April 2025</w:t>
            </w:r>
          </w:p>
        </w:tc>
        <w:tc>
          <w:tcPr>
            <w:tcW w:type="dxa" w:w="2160"/>
          </w:tcPr>
          <w:p>
            <w:r>
              <w:t>Structure fixed; AIFM chosen; draft PPM, LPA and data room ready; soft circling begins</w:t>
            </w:r>
          </w:p>
        </w:tc>
        <w:tc>
          <w:tcPr>
            <w:tcW w:type="dxa" w:w="2160"/>
          </w:tcPr>
          <w:p>
            <w:r>
              <w:t>Fund counsel, investor relations</w:t>
            </w:r>
          </w:p>
        </w:tc>
      </w:tr>
      <w:tr>
        <w:tc>
          <w:tcPr>
            <w:tcW w:type="dxa" w:w="2160"/>
          </w:tcPr>
          <w:p>
            <w:r>
              <w:t>4</w:t>
            </w:r>
          </w:p>
        </w:tc>
        <w:tc>
          <w:tcPr>
            <w:tcW w:type="dxa" w:w="2160"/>
          </w:tcPr>
          <w:p>
            <w:r>
              <w:t>May 2025</w:t>
            </w:r>
          </w:p>
        </w:tc>
        <w:tc>
          <w:tcPr>
            <w:tcW w:type="dxa" w:w="2160"/>
          </w:tcPr>
          <w:p>
            <w:r>
              <w:t>Form ADV filed (registration effective July 2025, case assumption); Valmont starts pre-marketing, founders presenting, and notifies the CSSF within two weeks</w:t>
            </w:r>
          </w:p>
        </w:tc>
        <w:tc>
          <w:tcPr>
            <w:tcW w:type="dxa" w:w="2160"/>
          </w:tcPr>
          <w:p>
            <w:r>
              <w:t>CFO-COO, Valmont (AIFM)</w:t>
            </w:r>
          </w:p>
        </w:tc>
      </w:tr>
      <w:tr>
        <w:tc>
          <w:tcPr>
            <w:tcW w:type="dxa" w:w="2160"/>
          </w:tcPr>
          <w:p>
            <w:r>
              <w:t>5</w:t>
            </w:r>
          </w:p>
        </w:tc>
        <w:tc>
          <w:tcPr>
            <w:tcW w:type="dxa" w:w="2160"/>
          </w:tcPr>
          <w:p>
            <w:r>
              <w:t>June 2025</w:t>
            </w:r>
          </w:p>
        </w:tc>
        <w:tc>
          <w:tcPr>
            <w:tcW w:type="dxa" w:w="2160"/>
          </w:tcPr>
          <w:p>
            <w:r>
              <w:t>Westmarch commits as anchor</w:t>
            </w:r>
          </w:p>
        </w:tc>
        <w:tc>
          <w:tcPr>
            <w:tcW w:type="dxa" w:w="2160"/>
          </w:tcPr>
          <w:p>
            <w:r>
              <w:t>Founders</w:t>
            </w:r>
          </w:p>
        </w:tc>
      </w:tr>
      <w:tr>
        <w:tc>
          <w:tcPr>
            <w:tcW w:type="dxa" w:w="2160"/>
          </w:tcPr>
          <w:p>
            <w:r>
              <w:t>6</w:t>
            </w:r>
          </w:p>
        </w:tc>
        <w:tc>
          <w:tcPr>
            <w:tcW w:type="dxa" w:w="2160"/>
          </w:tcPr>
          <w:p>
            <w:r>
              <w:t>July 2025</w:t>
            </w:r>
          </w:p>
        </w:tc>
        <w:tc>
          <w:tcPr>
            <w:tcW w:type="dxa" w:w="2160"/>
          </w:tcPr>
          <w:p>
            <w:r>
              <w:t>Valmont files the marketing notification for the SCSp</w:t>
            </w:r>
          </w:p>
        </w:tc>
        <w:tc>
          <w:tcPr>
            <w:tcW w:type="dxa" w:w="2160"/>
          </w:tcPr>
          <w:p>
            <w:r>
              <w:t>Valmont (AIFM)</w:t>
            </w:r>
          </w:p>
        </w:tc>
      </w:tr>
      <w:tr>
        <w:tc>
          <w:tcPr>
            <w:tcW w:type="dxa" w:w="2160"/>
          </w:tcPr>
          <w:p>
            <w:r>
              <w:t>7</w:t>
            </w:r>
          </w:p>
        </w:tc>
        <w:tc>
          <w:tcPr>
            <w:tcW w:type="dxa" w:w="2160"/>
          </w:tcPr>
          <w:p>
            <w:r>
              <w:t>August 2025</w:t>
            </w:r>
          </w:p>
        </w:tc>
        <w:tc>
          <w:tcPr>
            <w:tcW w:type="dxa" w:w="2160"/>
          </w:tcPr>
          <w:p>
            <w:r>
              <w:t>CSSF transmits the notification within 20 working days; marketing under the passport starts</w:t>
            </w:r>
          </w:p>
        </w:tc>
        <w:tc>
          <w:tcPr>
            <w:tcW w:type="dxa" w:w="2160"/>
          </w:tcPr>
          <w:p>
            <w:r>
              <w:t>Valmont (AIFM)</w:t>
            </w:r>
          </w:p>
        </w:tc>
      </w:tr>
      <w:tr>
        <w:tc>
          <w:tcPr>
            <w:tcW w:type="dxa" w:w="2160"/>
          </w:tcPr>
          <w:p>
            <w:r>
              <w:t>8</w:t>
            </w:r>
          </w:p>
        </w:tc>
        <w:tc>
          <w:tcPr>
            <w:tcW w:type="dxa" w:w="2160"/>
          </w:tcPr>
          <w:p>
            <w:r>
              <w:t>September 2025</w:t>
            </w:r>
          </w:p>
        </w:tc>
        <w:tc>
          <w:tcPr>
            <w:tcW w:type="dxa" w:w="2160"/>
          </w:tcPr>
          <w:p>
            <w:r>
              <w:t>First close, $260 million</w:t>
            </w:r>
          </w:p>
        </w:tc>
        <w:tc>
          <w:tcPr>
            <w:tcW w:type="dxa" w:w="2160"/>
          </w:tcPr>
          <w:p>
            <w:r>
              <w:t>Administrator</w:t>
            </w:r>
          </w:p>
        </w:tc>
      </w:tr>
      <w:tr>
        <w:tc>
          <w:tcPr>
            <w:tcW w:type="dxa" w:w="2160"/>
          </w:tcPr>
          <w:p>
            <w:r>
              <w:t>9</w:t>
            </w:r>
          </w:p>
        </w:tc>
        <w:tc>
          <w:tcPr>
            <w:tcW w:type="dxa" w:w="2160"/>
          </w:tcPr>
          <w:p>
            <w:r>
              <w:t>October 2025</w:t>
            </w:r>
          </w:p>
        </w:tc>
        <w:tc>
          <w:tcPr>
            <w:tcW w:type="dxa" w:w="2160"/>
          </w:tcPr>
          <w:p>
            <w:r>
              <w:t>First capital call, funds due 15 October 2025; Form D and CIMA filings</w:t>
            </w:r>
          </w:p>
        </w:tc>
        <w:tc>
          <w:tcPr>
            <w:tcW w:type="dxa" w:w="2160"/>
          </w:tcPr>
          <w:p>
            <w:r>
              <w:t>Administrator, counsel</w:t>
            </w:r>
          </w:p>
        </w:tc>
      </w:tr>
      <w:tr>
        <w:tc>
          <w:tcPr>
            <w:tcW w:type="dxa" w:w="2160"/>
          </w:tcPr>
          <w:p>
            <w:r>
              <w:t>11</w:t>
            </w:r>
          </w:p>
        </w:tc>
        <w:tc>
          <w:tcPr>
            <w:tcW w:type="dxa" w:w="2160"/>
          </w:tcPr>
          <w:p>
            <w:r>
              <w:t>December 2025</w:t>
            </w:r>
          </w:p>
        </w:tc>
        <w:tc>
          <w:tcPr>
            <w:tcW w:type="dxa" w:w="2160"/>
          </w:tcPr>
          <w:p>
            <w:r>
              <w:t>First investment, Northline Packaging</w:t>
            </w:r>
          </w:p>
        </w:tc>
        <w:tc>
          <w:tcPr>
            <w:tcW w:type="dxa" w:w="2160"/>
          </w:tcPr>
          <w:p>
            <w:r>
              <w:t>Founders</w:t>
            </w:r>
          </w:p>
        </w:tc>
      </w:tr>
      <w:tr>
        <w:tc>
          <w:tcPr>
            <w:tcW w:type="dxa" w:w="2160"/>
          </w:tcPr>
          <w:p>
            <w:r>
              <w:t>13</w:t>
            </w:r>
          </w:p>
        </w:tc>
        <w:tc>
          <w:tcPr>
            <w:tcW w:type="dxa" w:w="2160"/>
          </w:tcPr>
          <w:p>
            <w:r>
              <w:t>February 2026</w:t>
            </w:r>
          </w:p>
        </w:tc>
        <w:tc>
          <w:tcPr>
            <w:tcW w:type="dxa" w:w="2160"/>
          </w:tcPr>
          <w:p>
            <w:r>
              <w:t>Second investment, Calder Fleet Services</w:t>
            </w:r>
          </w:p>
        </w:tc>
        <w:tc>
          <w:tcPr>
            <w:tcW w:type="dxa" w:w="2160"/>
          </w:tcPr>
          <w:p>
            <w:r>
              <w:t>Founders</w:t>
            </w:r>
          </w:p>
        </w:tc>
      </w:tr>
      <w:tr>
        <w:tc>
          <w:tcPr>
            <w:tcW w:type="dxa" w:w="2160"/>
          </w:tcPr>
          <w:p>
            <w:r>
              <w:t>14</w:t>
            </w:r>
          </w:p>
        </w:tc>
        <w:tc>
          <w:tcPr>
            <w:tcW w:type="dxa" w:w="2160"/>
          </w:tcPr>
          <w:p>
            <w:r>
              <w:t>March 2026</w:t>
            </w:r>
          </w:p>
        </w:tc>
        <w:tc>
          <w:tcPr>
            <w:tcW w:type="dxa" w:w="2160"/>
          </w:tcPr>
          <w:p>
            <w:r>
              <w:t>Second close, $100 million (fund at $360 million)</w:t>
            </w:r>
          </w:p>
        </w:tc>
        <w:tc>
          <w:tcPr>
            <w:tcW w:type="dxa" w:w="2160"/>
          </w:tcPr>
          <w:p>
            <w:r>
              <w:t>Administrator</w:t>
            </w:r>
          </w:p>
        </w:tc>
      </w:tr>
      <w:tr>
        <w:tc>
          <w:tcPr>
            <w:tcW w:type="dxa" w:w="2160"/>
          </w:tcPr>
          <w:p>
            <w:r>
              <w:t>17</w:t>
            </w:r>
          </w:p>
        </w:tc>
        <w:tc>
          <w:tcPr>
            <w:tcW w:type="dxa" w:w="2160"/>
          </w:tcPr>
          <w:p>
            <w:r>
              <w:t>June 2026</w:t>
            </w:r>
          </w:p>
        </w:tc>
        <w:tc>
          <w:tcPr>
            <w:tcW w:type="dxa" w:w="2160"/>
          </w:tcPr>
          <w:p>
            <w:r>
              <w:t>Third investment, Ridgeway Dental Partners</w:t>
            </w:r>
          </w:p>
        </w:tc>
        <w:tc>
          <w:tcPr>
            <w:tcW w:type="dxa" w:w="2160"/>
          </w:tcPr>
          <w:p>
            <w:r>
              <w:t>Founders</w:t>
            </w:r>
          </w:p>
        </w:tc>
      </w:tr>
      <w:tr>
        <w:tc>
          <w:tcPr>
            <w:tcW w:type="dxa" w:w="2160"/>
          </w:tcPr>
          <w:p>
            <w:r>
              <w:t>20</w:t>
            </w:r>
          </w:p>
        </w:tc>
        <w:tc>
          <w:tcPr>
            <w:tcW w:type="dxa" w:w="2160"/>
          </w:tcPr>
          <w:p>
            <w:r>
              <w:t>September 2026</w:t>
            </w:r>
          </w:p>
        </w:tc>
        <w:tc>
          <w:tcPr>
            <w:tcW w:type="dxa" w:w="2160"/>
          </w:tcPr>
          <w:p>
            <w:r>
              <w:t>Final close, $60.0 million (fund at $420 million)</w:t>
            </w:r>
          </w:p>
        </w:tc>
        <w:tc>
          <w:tcPr>
            <w:tcW w:type="dxa" w:w="2160"/>
          </w:tcPr>
          <w:p>
            <w:r>
              <w:t>Founders, administrator</w:t>
            </w:r>
          </w:p>
        </w:tc>
      </w:tr>
    </w:tbl>
    <w:p>
      <w:r>
        <w:t>Julian R. Sterling, The Fund Formation Handbook. A working aid, not legal, tax or regulatory advice. A real launch needs counsel in each jurisdiction.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Fund Formation Handbook: Formation Checklist and Timeline</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