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Asset Manager's Toolkit</w:t>
      </w:r>
    </w:p>
    <w:p>
      <w:r>
        <w:rPr>
          <w:b w:val="0"/>
        </w:rPr>
        <w:t>These are the checklists the asset director used on Aldmere from completion on 31 December 2024 onward. Change them to fit your own asset. Each item names an owner from the case roles. Where the owner sits at Aldmere, a Ferrand team member is named as the checker. A checklist with no owners is only a wish list.</w:t>
      </w:r>
    </w:p>
    <w:p>
      <w:pPr>
        <w:pStyle w:val="Heading2"/>
      </w:pPr>
      <w:r>
        <w:t>Day-One Checklist</w:t>
      </w:r>
    </w:p>
    <w:p>
      <w:pPr>
        <w:spacing w:after="60"/>
        <w:ind w:left="240"/>
      </w:pPr>
      <w:r>
        <w:rPr>
          <w:b w:val="0"/>
        </w:rPr>
        <w:t xml:space="preserve">☐ </w:t>
      </w:r>
      <w:r>
        <w:rPr>
          <w:b/>
        </w:rPr>
        <w:t>Bank mandates.</w:t>
      </w:r>
      <w:r>
        <w:rPr>
          <w:b w:val="0"/>
        </w:rPr>
        <w:t xml:space="preserve"> Register the new signatories on every account of the holding company and the three businesses, and remove the seller's signatories. Owner: Aldmere's CFO. Checked by: the asset manager.</w:t>
      </w:r>
    </w:p>
    <w:p>
      <w:pPr>
        <w:spacing w:after="60"/>
        <w:ind w:left="240"/>
      </w:pPr>
      <w:r>
        <w:rPr>
          <w:b w:val="0"/>
        </w:rPr>
        <w:t xml:space="preserve">☐ </w:t>
      </w:r>
      <w:r>
        <w:rPr>
          <w:b/>
        </w:rPr>
        <w:t>Payment limits.</w:t>
      </w:r>
      <w:r>
        <w:rPr>
          <w:b w:val="0"/>
        </w:rPr>
        <w:t xml:space="preserve"> Load payment limits into the banking platforms. They must match the interim delegated authorities. Owner: Aldmere's CFO.</w:t>
      </w:r>
    </w:p>
    <w:p>
      <w:pPr>
        <w:spacing w:after="60"/>
        <w:ind w:left="240"/>
      </w:pPr>
      <w:r>
        <w:rPr>
          <w:b w:val="0"/>
        </w:rPr>
        <w:t xml:space="preserve">☐ </w:t>
      </w:r>
      <w:r>
        <w:rPr>
          <w:b/>
        </w:rPr>
        <w:t>Completion funds flow.</w:t>
      </w:r>
      <w:r>
        <w:rPr>
          <w:b w:val="0"/>
        </w:rPr>
        <w:t xml:space="preserve"> Reconcile the funds flow against the sale and purchase agreement. Put any completion accounts or adjustment deadlines in the diary. Owner: the analyst.</w:t>
      </w:r>
    </w:p>
    <w:p>
      <w:pPr>
        <w:spacing w:after="60"/>
        <w:ind w:left="240"/>
      </w:pPr>
      <w:r>
        <w:rPr>
          <w:b w:val="0"/>
        </w:rPr>
        <w:t xml:space="preserve">☐ </w:t>
      </w:r>
      <w:r>
        <w:rPr>
          <w:b/>
        </w:rPr>
        <w:t>Insurance.</w:t>
      </w:r>
      <w:r>
        <w:rPr>
          <w:b w:val="0"/>
        </w:rPr>
        <w:t xml:space="preserve"> Confirm that every policy is in force after the change of control. Note the lenders' interests where the facilities require it. Owner: the asset manager.</w:t>
      </w:r>
    </w:p>
    <w:p>
      <w:pPr>
        <w:spacing w:after="60"/>
        <w:ind w:left="240"/>
      </w:pPr>
      <w:r>
        <w:rPr>
          <w:b w:val="0"/>
        </w:rPr>
        <w:t xml:space="preserve">☐ </w:t>
      </w:r>
      <w:r>
        <w:rPr>
          <w:b/>
        </w:rPr>
        <w:t>Lender conditions.</w:t>
      </w:r>
      <w:r>
        <w:rPr>
          <w:b w:val="0"/>
        </w:rPr>
        <w:t xml:space="preserve"> Log every condition subsequent and post-completion notice under the Water, Solar, Schools and holding company facilities, each with its deadline. Owner: the asset manager.</w:t>
      </w:r>
    </w:p>
    <w:p>
      <w:pPr>
        <w:spacing w:after="60"/>
        <w:ind w:left="240"/>
      </w:pPr>
      <w:r>
        <w:rPr>
          <w:b w:val="0"/>
        </w:rPr>
        <w:t xml:space="preserve">☐ </w:t>
      </w:r>
      <w:r>
        <w:rPr>
          <w:b/>
        </w:rPr>
        <w:t>Regulator.</w:t>
      </w:r>
      <w:r>
        <w:rPr>
          <w:b w:val="0"/>
        </w:rPr>
        <w:t xml:space="preserve"> Confirm that the regulator has the change of control notifications and undertakings it requires for Aldmere Water. Owner: the managing director of Aldmere Water, with the asset director.</w:t>
      </w:r>
    </w:p>
    <w:p>
      <w:pPr>
        <w:spacing w:after="60"/>
        <w:ind w:left="240"/>
      </w:pPr>
      <w:r>
        <w:rPr>
          <w:b w:val="0"/>
        </w:rPr>
        <w:t xml:space="preserve">☐ </w:t>
      </w:r>
      <w:r>
        <w:rPr>
          <w:b/>
        </w:rPr>
        <w:t>Authority.</w:t>
      </w:r>
      <w:r>
        <w:rPr>
          <w:b w:val="0"/>
        </w:rPr>
        <w:t xml:space="preserve"> Confirm that the authority has received the notices the Aldmere Schools project agreement requires. Owner: the managing director of Aldmere Schools.</w:t>
      </w:r>
    </w:p>
    <w:p>
      <w:pPr>
        <w:spacing w:after="60"/>
        <w:ind w:left="240"/>
      </w:pPr>
      <w:r>
        <w:rPr>
          <w:b w:val="0"/>
        </w:rPr>
        <w:t xml:space="preserve">☐ </w:t>
      </w:r>
      <w:r>
        <w:rPr>
          <w:b/>
        </w:rPr>
        <w:t>Offtakers.</w:t>
      </w:r>
      <w:r>
        <w:rPr>
          <w:b w:val="0"/>
        </w:rPr>
        <w:t xml:space="preserve"> Send the offtakers the change of control notices their PPAs require. Owner: the managing director of Aldmere Solar.</w:t>
      </w:r>
    </w:p>
    <w:p>
      <w:pPr>
        <w:spacing w:after="60"/>
        <w:ind w:left="240"/>
      </w:pPr>
      <w:r>
        <w:rPr>
          <w:b w:val="0"/>
        </w:rPr>
        <w:t xml:space="preserve">☐ </w:t>
      </w:r>
      <w:r>
        <w:rPr>
          <w:b/>
        </w:rPr>
        <w:t>Directors.</w:t>
      </w:r>
      <w:r>
        <w:rPr>
          <w:b w:val="0"/>
        </w:rPr>
        <w:t xml:space="preserve"> File the appointments of the Ferrand directors and the resignations of the outgoing directors at the holding company and at each subsidiary. Owner: the asset director.</w:t>
      </w:r>
    </w:p>
    <w:p>
      <w:pPr>
        <w:spacing w:after="60"/>
        <w:ind w:left="240"/>
      </w:pPr>
      <w:r>
        <w:rPr>
          <w:b w:val="0"/>
        </w:rPr>
        <w:t xml:space="preserve">☐ </w:t>
      </w:r>
      <w:r>
        <w:rPr>
          <w:b/>
        </w:rPr>
        <w:t>Interim authorities.</w:t>
      </w:r>
      <w:r>
        <w:rPr>
          <w:b w:val="0"/>
        </w:rPr>
        <w:t xml:space="preserve"> Put an interim delegated authorities letter in force. It applies until the board approves the full matrix. Owner: the head of asset management.</w:t>
      </w:r>
    </w:p>
    <w:p>
      <w:pPr>
        <w:spacing w:after="60"/>
        <w:ind w:left="240"/>
      </w:pPr>
      <w:r>
        <w:rPr>
          <w:b w:val="0"/>
        </w:rPr>
        <w:t xml:space="preserve">☐ </w:t>
      </w:r>
      <w:r>
        <w:rPr>
          <w:b/>
        </w:rPr>
        <w:t>First board.</w:t>
      </w:r>
      <w:r>
        <w:rPr>
          <w:b w:val="0"/>
        </w:rPr>
        <w:t xml:space="preserve"> Fix the date of the first board meeting and agree its agenda with the independent chair. Owner: the asset director.</w:t>
      </w:r>
    </w:p>
    <w:p>
      <w:pPr>
        <w:spacing w:after="60"/>
        <w:ind w:left="240"/>
      </w:pPr>
      <w:r>
        <w:rPr>
          <w:b w:val="0"/>
        </w:rPr>
        <w:t xml:space="preserve">☐ </w:t>
      </w:r>
      <w:r>
        <w:rPr>
          <w:b/>
        </w:rPr>
        <w:t>Key people.</w:t>
      </w:r>
      <w:r>
        <w:rPr>
          <w:b w:val="0"/>
        </w:rPr>
        <w:t xml:space="preserve"> Sign retention arrangements with the CEO and the three managing directors. Owner: the asset director.</w:t>
      </w:r>
    </w:p>
    <w:p>
      <w:pPr>
        <w:spacing w:after="60"/>
        <w:ind w:left="240"/>
      </w:pPr>
      <w:r>
        <w:rPr>
          <w:b w:val="0"/>
        </w:rPr>
        <w:t xml:space="preserve">☐ </w:t>
      </w:r>
      <w:r>
        <w:rPr>
          <w:b/>
        </w:rPr>
        <w:t>Communications.</w:t>
      </w:r>
      <w:r>
        <w:rPr>
          <w:b w:val="0"/>
        </w:rPr>
        <w:t xml:space="preserve"> Send a staff letter from the CEO and agree the messages for the regulator, the offtakers, the authority and the lenders. Owner: Aldmere's CEO.</w:t>
      </w:r>
    </w:p>
    <w:p>
      <w:pPr>
        <w:spacing w:after="60"/>
        <w:ind w:left="240"/>
      </w:pPr>
      <w:r>
        <w:rPr>
          <w:b w:val="0"/>
        </w:rPr>
        <w:t xml:space="preserve">☐ </w:t>
      </w:r>
      <w:r>
        <w:rPr>
          <w:b/>
        </w:rPr>
        <w:t>Data access.</w:t>
      </w:r>
      <w:r>
        <w:rPr>
          <w:b w:val="0"/>
        </w:rPr>
        <w:t xml:space="preserve"> Give the Ferrand team access to the management accounts, the archived data room and the base case model. Owner: the analyst.</w:t>
      </w:r>
    </w:p>
    <w:p>
      <w:pPr>
        <w:spacing w:after="60"/>
        <w:ind w:left="240"/>
      </w:pPr>
      <w:r>
        <w:rPr>
          <w:b w:val="0"/>
        </w:rPr>
        <w:t xml:space="preserve">☐ </w:t>
      </w:r>
      <w:r>
        <w:rPr>
          <w:b/>
        </w:rPr>
        <w:t>Health and safety.</w:t>
      </w:r>
      <w:r>
        <w:rPr>
          <w:b w:val="0"/>
        </w:rPr>
        <w:t xml:space="preserve"> Set up a direct reporting line for serious incidents to the asset director, and read the latest incident log. Owner: the asset director.</w:t>
      </w:r>
    </w:p>
    <w:p>
      <w:pPr>
        <w:pStyle w:val="Heading2"/>
      </w:pPr>
      <w:r>
        <w:t>100-Day Plan Template</w:t>
      </w:r>
    </w:p>
    <w:p>
      <w:r>
        <w:rPr>
          <w:b w:val="0"/>
        </w:rPr>
        <w:t>The asset director owns the whole plan. Each line below has its own owner and a dated output.</w:t>
      </w:r>
    </w:p>
    <w:p>
      <w:r>
        <w:rPr>
          <w:b/>
        </w:rPr>
        <w:t>Day 1 to 30: control</w:t>
      </w:r>
    </w:p>
    <w:p>
      <w:pPr>
        <w:spacing w:after="60"/>
        <w:ind w:left="240"/>
      </w:pPr>
      <w:r>
        <w:rPr>
          <w:b w:val="0"/>
        </w:rPr>
        <w:t>☐ Board, reserved matters, delegated authorities matrix and committee charters approved. Owner: the asset director.</w:t>
      </w:r>
    </w:p>
    <w:p>
      <w:pPr>
        <w:spacing w:after="60"/>
        <w:ind w:left="240"/>
      </w:pPr>
      <w:r>
        <w:rPr>
          <w:b w:val="0"/>
        </w:rPr>
        <w:t>☐ Cash and banking control in place, with weekly cash reporting to the asset manager. Owner: Aldmere's CFO.</w:t>
      </w:r>
    </w:p>
    <w:p>
      <w:pPr>
        <w:spacing w:after="60"/>
        <w:ind w:left="240"/>
      </w:pPr>
      <w:r>
        <w:rPr>
          <w:b w:val="0"/>
        </w:rPr>
        <w:t>☐ Insurance program reviewed against the assets' actual risks. Owner: the asset manager.</w:t>
      </w:r>
    </w:p>
    <w:p>
      <w:pPr>
        <w:spacing w:after="60"/>
        <w:ind w:left="240"/>
      </w:pPr>
      <w:r>
        <w:rPr>
          <w:b w:val="0"/>
        </w:rPr>
        <w:t>☐ Key person and retention plan for the CEO and the managing directors. Owner: the asset director.</w:t>
      </w:r>
    </w:p>
    <w:p>
      <w:pPr>
        <w:spacing w:after="60"/>
        <w:ind w:left="240"/>
      </w:pPr>
      <w:r>
        <w:rPr>
          <w:b w:val="0"/>
        </w:rPr>
        <w:t>☐ First monthly reporting pack issued. Owner: Aldmere's CFO. Reviewed by: the analyst.</w:t>
      </w:r>
    </w:p>
    <w:p>
      <w:r>
        <w:rPr>
          <w:b/>
        </w:rPr>
        <w:t>Day 31 to 60: diagnosis</w:t>
      </w:r>
    </w:p>
    <w:p>
      <w:pPr>
        <w:spacing w:after="60"/>
        <w:ind w:left="240"/>
      </w:pPr>
      <w:r>
        <w:rPr>
          <w:b w:val="0"/>
        </w:rPr>
        <w:t>☐ Opex program designed with Aldmere Water's management, with savings targets by year. Owner: the managing director of Aldmere Water.</w:t>
      </w:r>
    </w:p>
    <w:p>
      <w:pPr>
        <w:spacing w:after="60"/>
        <w:ind w:left="240"/>
      </w:pPr>
      <w:r>
        <w:rPr>
          <w:b w:val="0"/>
        </w:rPr>
        <w:t>☐ Budget re-based. Owner: Aldmere's CFO.</w:t>
      </w:r>
    </w:p>
    <w:p>
      <w:pPr>
        <w:spacing w:after="60"/>
        <w:ind w:left="240"/>
      </w:pPr>
      <w:r>
        <w:rPr>
          <w:b w:val="0"/>
        </w:rPr>
        <w:t>☐ Capex plan checked against the price control's committed outputs. Owner: the managing director of Aldmere Water. Checked by: the asset manager.</w:t>
      </w:r>
    </w:p>
    <w:p>
      <w:pPr>
        <w:spacing w:after="60"/>
        <w:ind w:left="240"/>
      </w:pPr>
      <w:r>
        <w:rPr>
          <w:b w:val="0"/>
        </w:rPr>
        <w:t>☐ Solar's operations and maintenance contract benchmarked. Owner: the managing director of Aldmere Solar.</w:t>
      </w:r>
    </w:p>
    <w:p>
      <w:pPr>
        <w:spacing w:after="60"/>
        <w:ind w:left="240"/>
      </w:pPr>
      <w:r>
        <w:rPr>
          <w:b w:val="0"/>
        </w:rPr>
        <w:t>☐ Root causes of the Schools deductions reviewed. Owner: the managing director of Aldmere Schools.</w:t>
      </w:r>
    </w:p>
    <w:p>
      <w:r>
        <w:rPr>
          <w:b/>
        </w:rPr>
        <w:t>Day 61 to 100: direction</w:t>
      </w:r>
    </w:p>
    <w:p>
      <w:pPr>
        <w:spacing w:after="60"/>
        <w:ind w:left="240"/>
      </w:pPr>
      <w:r>
        <w:rPr>
          <w:b w:val="0"/>
        </w:rPr>
        <w:t>☐ Five-year business plan approved by the board. Owner: Aldmere's CEO.</w:t>
      </w:r>
    </w:p>
    <w:p>
      <w:pPr>
        <w:spacing w:after="60"/>
        <w:ind w:left="240"/>
      </w:pPr>
      <w:r>
        <w:rPr>
          <w:b w:val="0"/>
        </w:rPr>
        <w:t>☐ Holding company refinancing options reviewed with advisers. Owner: the asset director.</w:t>
      </w:r>
    </w:p>
    <w:p>
      <w:pPr>
        <w:spacing w:after="60"/>
        <w:ind w:left="240"/>
      </w:pPr>
      <w:r>
        <w:rPr>
          <w:b w:val="0"/>
        </w:rPr>
        <w:t>☐ ESG baseline measured. Owner: the asset manager.</w:t>
      </w:r>
    </w:p>
    <w:p>
      <w:pPr>
        <w:spacing w:after="60"/>
        <w:ind w:left="240"/>
      </w:pPr>
      <w:r>
        <w:rPr>
          <w:b w:val="0"/>
        </w:rPr>
        <w:t>☐ Value creation plan, with owners and dates, presented to Ferrand's investment committee. Owner: the asset director.</w:t>
      </w:r>
    </w:p>
    <w:p>
      <w:pPr>
        <w:pStyle w:val="Heading2"/>
      </w:pPr>
      <w:r>
        <w:t>Board Pack Contents</w:t>
      </w:r>
    </w:p>
    <w:p>
      <w:r>
        <w:rPr>
          <w:b w:val="0"/>
        </w:rPr>
        <w:t>The asset director reads every pack before it goes out. Papers go to directors a full week before the meeting.</w:t>
      </w:r>
    </w:p>
    <w:p>
      <w:pPr>
        <w:spacing w:after="60"/>
        <w:ind w:left="240"/>
      </w:pPr>
      <w:r>
        <w:rPr>
          <w:b w:val="0"/>
        </w:rPr>
        <w:t xml:space="preserve">☐ </w:t>
      </w:r>
      <w:r>
        <w:rPr>
          <w:b/>
        </w:rPr>
        <w:t>Health and safety first.</w:t>
      </w:r>
      <w:r>
        <w:rPr>
          <w:b w:val="0"/>
        </w:rPr>
        <w:t xml:space="preserve"> Incidents, lost-time injury frequency rate, near misses and actions. Owner: Aldmere's CEO.</w:t>
      </w:r>
    </w:p>
    <w:p>
      <w:pPr>
        <w:spacing w:after="60"/>
        <w:ind w:left="240"/>
      </w:pPr>
      <w:r>
        <w:rPr>
          <w:b w:val="0"/>
        </w:rPr>
        <w:t xml:space="preserve">☐ </w:t>
      </w:r>
      <w:r>
        <w:rPr>
          <w:b/>
        </w:rPr>
        <w:t>CEO report.</w:t>
      </w:r>
      <w:r>
        <w:rPr>
          <w:b w:val="0"/>
        </w:rPr>
        <w:t xml:space="preserve"> Strategy, people, and the regulator, offtaker and authority relationships. Owner: Aldmere's CEO.</w:t>
      </w:r>
    </w:p>
    <w:p>
      <w:pPr>
        <w:spacing w:after="60"/>
        <w:ind w:left="240"/>
      </w:pPr>
      <w:r>
        <w:rPr>
          <w:b w:val="0"/>
        </w:rPr>
        <w:t xml:space="preserve">☐ </w:t>
      </w:r>
      <w:r>
        <w:rPr>
          <w:b/>
        </w:rPr>
        <w:t>Finance.</w:t>
      </w:r>
      <w:r>
        <w:rPr>
          <w:b w:val="0"/>
        </w:rPr>
        <w:t xml:space="preserve"> Results against budget, cash, the distributions forecast and the covenant forecast for every entity. Owner: Aldmere's CFO.</w:t>
      </w:r>
    </w:p>
    <w:p>
      <w:pPr>
        <w:spacing w:after="60"/>
        <w:ind w:left="240"/>
      </w:pPr>
      <w:r>
        <w:rPr>
          <w:b w:val="0"/>
        </w:rPr>
        <w:t xml:space="preserve">☐ </w:t>
      </w:r>
      <w:r>
        <w:rPr>
          <w:b/>
        </w:rPr>
        <w:t>Business reports.</w:t>
      </w:r>
      <w:r>
        <w:rPr>
          <w:b w:val="0"/>
        </w:rPr>
        <w:t xml:space="preserve"> Water, Solar and Schools KPIs, each tied to revenue, cost or risk. Owners: the three managing directors.</w:t>
      </w:r>
    </w:p>
    <w:p>
      <w:pPr>
        <w:spacing w:after="60"/>
        <w:ind w:left="240"/>
      </w:pPr>
      <w:r>
        <w:rPr>
          <w:b w:val="0"/>
        </w:rPr>
        <w:t xml:space="preserve">☐ </w:t>
      </w:r>
      <w:r>
        <w:rPr>
          <w:b/>
        </w:rPr>
        <w:t>Capex.</w:t>
      </w:r>
      <w:r>
        <w:rPr>
          <w:b w:val="0"/>
        </w:rPr>
        <w:t xml:space="preserve"> Spend against plan and against committed outputs, with any project above the reserved threshold shown separately. Owner: Aldmere's CFO.</w:t>
      </w:r>
    </w:p>
    <w:p>
      <w:pPr>
        <w:spacing w:after="60"/>
        <w:ind w:left="240"/>
      </w:pPr>
      <w:r>
        <w:rPr>
          <w:b w:val="0"/>
        </w:rPr>
        <w:t xml:space="preserve">☐ </w:t>
      </w:r>
      <w:r>
        <w:rPr>
          <w:b/>
        </w:rPr>
        <w:t>Regulatory and contract matters.</w:t>
      </w:r>
      <w:r>
        <w:rPr>
          <w:b w:val="0"/>
        </w:rPr>
        <w:t xml:space="preserve"> Submissions, determinations, variations and disputes. Owners: the managing directors.</w:t>
      </w:r>
    </w:p>
    <w:p>
      <w:pPr>
        <w:spacing w:after="60"/>
        <w:ind w:left="240"/>
      </w:pPr>
      <w:r>
        <w:rPr>
          <w:b w:val="0"/>
        </w:rPr>
        <w:t xml:space="preserve">☐ </w:t>
      </w:r>
      <w:r>
        <w:rPr>
          <w:b/>
        </w:rPr>
        <w:t>Risk register.</w:t>
      </w:r>
      <w:r>
        <w:rPr>
          <w:b w:val="0"/>
        </w:rPr>
        <w:t xml:space="preserve"> Changes since the last meeting. Owner: the chair of the audit and risk committee.</w:t>
      </w:r>
    </w:p>
    <w:p>
      <w:pPr>
        <w:spacing w:after="60"/>
        <w:ind w:left="240"/>
      </w:pPr>
      <w:r>
        <w:rPr>
          <w:b w:val="0"/>
        </w:rPr>
        <w:t xml:space="preserve">☐ </w:t>
      </w:r>
      <w:r>
        <w:rPr>
          <w:b/>
        </w:rPr>
        <w:t>ESG.</w:t>
      </w:r>
      <w:r>
        <w:rPr>
          <w:b w:val="0"/>
        </w:rPr>
        <w:t xml:space="preserve"> Progress against the emissions and leakage targets. Owner: the chair of the health, safety and environment committee.</w:t>
      </w:r>
    </w:p>
    <w:p>
      <w:pPr>
        <w:spacing w:after="60"/>
        <w:ind w:left="240"/>
      </w:pPr>
      <w:r>
        <w:rPr>
          <w:b w:val="0"/>
        </w:rPr>
        <w:t xml:space="preserve">☐ </w:t>
      </w:r>
      <w:r>
        <w:rPr>
          <w:b/>
        </w:rPr>
        <w:t>Decisions.</w:t>
      </w:r>
      <w:r>
        <w:rPr>
          <w:b w:val="0"/>
        </w:rPr>
        <w:t xml:space="preserve"> Reserved matters for approval, each with a recommendation. Owner: the paper's sponsor.</w:t>
      </w:r>
    </w:p>
    <w:p>
      <w:pPr>
        <w:spacing w:after="60"/>
        <w:ind w:left="240"/>
      </w:pPr>
      <w:r>
        <w:rPr>
          <w:b w:val="0"/>
        </w:rPr>
        <w:t xml:space="preserve">☐ </w:t>
      </w:r>
      <w:r>
        <w:rPr>
          <w:b/>
        </w:rPr>
        <w:t>Committee reports and minutes of the last meeting.</w:t>
      </w:r>
      <w:r>
        <w:rPr>
          <w:b w:val="0"/>
        </w:rPr>
        <w:t xml:space="preserve"> Owner: the independent chair.</w:t>
      </w:r>
    </w:p>
    <w:p>
      <w:pPr>
        <w:pStyle w:val="Heading2"/>
      </w:pPr>
      <w:r>
        <w:t>Monthly Reporting Pack Contents</w:t>
      </w:r>
    </w:p>
    <w:p>
      <w:pPr>
        <w:spacing w:after="60"/>
        <w:ind w:left="240"/>
      </w:pPr>
      <w:r>
        <w:rPr>
          <w:b w:val="0"/>
        </w:rPr>
        <w:t>☐ Health and safety incidents and actions. Owner: Aldmere's CEO.</w:t>
      </w:r>
    </w:p>
    <w:p>
      <w:pPr>
        <w:spacing w:after="60"/>
        <w:ind w:left="240"/>
      </w:pPr>
      <w:r>
        <w:rPr>
          <w:b w:val="0"/>
        </w:rPr>
        <w:t>☐ Cash, liquidity and the thirteen-week cash forecast. Owner: Aldmere's CFO.</w:t>
      </w:r>
    </w:p>
    <w:p>
      <w:pPr>
        <w:spacing w:after="60"/>
        <w:ind w:left="240"/>
      </w:pPr>
      <w:r>
        <w:rPr>
          <w:b w:val="0"/>
        </w:rPr>
        <w:t>☐ Profit and loss against budget and the latest forecast, with variance explanations. Owner: Aldmere's CFO.</w:t>
      </w:r>
    </w:p>
    <w:p>
      <w:pPr>
        <w:spacing w:after="60"/>
        <w:ind w:left="240"/>
      </w:pPr>
      <w:r>
        <w:rPr>
          <w:b w:val="0"/>
        </w:rPr>
        <w:t>☐ Aldmere Water: opex against allowance, regulated capex against plan, leakage, supply interruptions, pollution incidents and complaints. Owner: the managing director of Aldmere Water.</w:t>
      </w:r>
    </w:p>
    <w:p>
      <w:pPr>
        <w:spacing w:after="60"/>
        <w:ind w:left="240"/>
      </w:pPr>
      <w:r>
        <w:rPr>
          <w:b w:val="0"/>
        </w:rPr>
        <w:t>☐ Aldmere Solar: output, availability against the 99.0 percent target, performance ratio and curtailment hours. Owner: the managing director of Aldmere Solar.</w:t>
      </w:r>
    </w:p>
    <w:p>
      <w:pPr>
        <w:spacing w:after="60"/>
        <w:ind w:left="240"/>
      </w:pPr>
      <w:r>
        <w:rPr>
          <w:b w:val="0"/>
        </w:rPr>
        <w:t>☐ Aldmere Schools: deductions, response and rectification times, and lifecycle spend against plan. Owner: the managing director of Aldmere Schools.</w:t>
      </w:r>
    </w:p>
    <w:p>
      <w:pPr>
        <w:spacing w:after="60"/>
        <w:ind w:left="240"/>
      </w:pPr>
      <w:r>
        <w:rPr>
          <w:b w:val="0"/>
        </w:rPr>
        <w:t>☐ Covenant forecast for every test in the calendar below. Owner: Aldmere's CFO. Checked by: the analyst.</w:t>
      </w:r>
    </w:p>
    <w:p>
      <w:pPr>
        <w:spacing w:after="60"/>
        <w:ind w:left="240"/>
      </w:pPr>
      <w:r>
        <w:rPr>
          <w:b w:val="0"/>
        </w:rPr>
        <w:t>☐ Material events and open actions from the last board. Owner: the asset manager.</w:t>
      </w:r>
    </w:p>
    <w:p>
      <w:pPr>
        <w:pStyle w:val="Heading2"/>
      </w:pPr>
      <w:r>
        <w:t>Covenant and Obligations Calendar</w:t>
      </w:r>
    </w:p>
    <w:p>
      <w:r>
        <w:rPr>
          <w:b w:val="0"/>
        </w:rPr>
        <w:t>The months below are an illustrative template. Take the real test and delivery dates from each facility agreement, the license and the project agreement.</w:t>
      </w:r>
    </w:p>
    <w:tbl>
      <w:tblPr>
        <w:tblStyle w:val="TableGrid"/>
        <w:tblW w:type="auto" w:w="0"/>
        <w:tblLook w:firstColumn="1" w:firstRow="1" w:lastColumn="0" w:lastRow="0" w:noHBand="0" w:noVBand="1" w:val="04A0"/>
      </w:tblPr>
      <w:tblGrid>
        <w:gridCol w:w="2880"/>
        <w:gridCol w:w="2880"/>
        <w:gridCol w:w="2880"/>
      </w:tblGrid>
      <w:tr>
        <w:tc>
          <w:tcPr>
            <w:tcW w:type="dxa" w:w="2880"/>
          </w:tcPr>
          <w:p>
            <w:r>
              <w:t>Month</w:t>
            </w:r>
          </w:p>
        </w:tc>
        <w:tc>
          <w:tcPr>
            <w:tcW w:type="dxa" w:w="2880"/>
          </w:tcPr>
          <w:p>
            <w:r>
              <w:t>Item</w:t>
            </w:r>
          </w:p>
        </w:tc>
        <w:tc>
          <w:tcPr>
            <w:tcW w:type="dxa" w:w="2880"/>
          </w:tcPr>
          <w:p>
            <w:r>
              <w:t>Entity</w:t>
            </w:r>
          </w:p>
        </w:tc>
      </w:tr>
      <w:tr>
        <w:tc>
          <w:tcPr>
            <w:tcW w:type="dxa" w:w="2880"/>
          </w:tcPr>
          <w:p>
            <w:r>
              <w:t>January</w:t>
            </w:r>
          </w:p>
        </w:tc>
        <w:tc>
          <w:tcPr>
            <w:tcW w:type="dxa" w:w="2880"/>
          </w:tcPr>
          <w:p>
            <w:r>
              <w:t>Year-end covenant tests prepared: DSCR against the 1.20x lock-up and 1.05x default levels</w:t>
            </w:r>
          </w:p>
        </w:tc>
        <w:tc>
          <w:tcPr>
            <w:tcW w:type="dxa" w:w="2880"/>
          </w:tcPr>
          <w:p>
            <w:r>
              <w:t>Aldmere Solar</w:t>
            </w:r>
          </w:p>
        </w:tc>
      </w:tr>
      <w:tr>
        <w:tc>
          <w:tcPr>
            <w:tcW w:type="dxa" w:w="2880"/>
          </w:tcPr>
          <w:p>
            <w:r>
              <w:t>January</w:t>
            </w:r>
          </w:p>
        </w:tc>
        <w:tc>
          <w:tcPr>
            <w:tcW w:type="dxa" w:w="2880"/>
          </w:tcPr>
          <w:p>
            <w:r>
              <w:t>Year-end tests: gearing at most 75 percent, interest cover at least 1.6x</w:t>
            </w:r>
          </w:p>
        </w:tc>
        <w:tc>
          <w:tcPr>
            <w:tcW w:type="dxa" w:w="2880"/>
          </w:tcPr>
          <w:p>
            <w:r>
              <w:t>Aldmere Water</w:t>
            </w:r>
          </w:p>
        </w:tc>
      </w:tr>
      <w:tr>
        <w:tc>
          <w:tcPr>
            <w:tcW w:type="dxa" w:w="2880"/>
          </w:tcPr>
          <w:p>
            <w:r>
              <w:t>January</w:t>
            </w:r>
          </w:p>
        </w:tc>
        <w:tc>
          <w:tcPr>
            <w:tcW w:type="dxa" w:w="2880"/>
          </w:tcPr>
          <w:p>
            <w:r>
              <w:t>Year-end test: interest cover at least 1.10x</w:t>
            </w:r>
          </w:p>
        </w:tc>
        <w:tc>
          <w:tcPr>
            <w:tcW w:type="dxa" w:w="2880"/>
          </w:tcPr>
          <w:p>
            <w:r>
              <w:t>Holding company</w:t>
            </w:r>
          </w:p>
        </w:tc>
      </w:tr>
      <w:tr>
        <w:tc>
          <w:tcPr>
            <w:tcW w:type="dxa" w:w="2880"/>
          </w:tcPr>
          <w:p>
            <w:r>
              <w:t>January</w:t>
            </w:r>
          </w:p>
        </w:tc>
        <w:tc>
          <w:tcPr>
            <w:tcW w:type="dxa" w:w="2880"/>
          </w:tcPr>
          <w:p>
            <w:r>
              <w:t>Year-end DSCR and deductions summary</w:t>
            </w:r>
          </w:p>
        </w:tc>
        <w:tc>
          <w:tcPr>
            <w:tcW w:type="dxa" w:w="2880"/>
          </w:tcPr>
          <w:p>
            <w:r>
              <w:t>Aldmere Schools</w:t>
            </w:r>
          </w:p>
        </w:tc>
      </w:tr>
      <w:tr>
        <w:tc>
          <w:tcPr>
            <w:tcW w:type="dxa" w:w="2880"/>
          </w:tcPr>
          <w:p>
            <w:r>
              <w:t>March</w:t>
            </w:r>
          </w:p>
        </w:tc>
        <w:tc>
          <w:tcPr>
            <w:tcW w:type="dxa" w:w="2880"/>
          </w:tcPr>
          <w:p>
            <w:r>
              <w:t>Fourth-quarter LP report with audited financial statements, within 90 days of quarter end</w:t>
            </w:r>
          </w:p>
        </w:tc>
        <w:tc>
          <w:tcPr>
            <w:tcW w:type="dxa" w:w="2880"/>
          </w:tcPr>
          <w:p>
            <w:r>
              <w:t>Fund III</w:t>
            </w:r>
          </w:p>
        </w:tc>
      </w:tr>
      <w:tr>
        <w:tc>
          <w:tcPr>
            <w:tcW w:type="dxa" w:w="2880"/>
          </w:tcPr>
          <w:p>
            <w:r>
              <w:t>March</w:t>
            </w:r>
          </w:p>
        </w:tc>
        <w:tc>
          <w:tcPr>
            <w:tcW w:type="dxa" w:w="2880"/>
          </w:tcPr>
          <w:p>
            <w:r>
              <w:t>Audited accounts and compliance certificates to the lenders</w:t>
            </w:r>
          </w:p>
        </w:tc>
        <w:tc>
          <w:tcPr>
            <w:tcW w:type="dxa" w:w="2880"/>
          </w:tcPr>
          <w:p>
            <w:r>
              <w:t>All entities</w:t>
            </w:r>
          </w:p>
        </w:tc>
      </w:tr>
      <w:tr>
        <w:tc>
          <w:tcPr>
            <w:tcW w:type="dxa" w:w="2880"/>
          </w:tcPr>
          <w:p>
            <w:r>
              <w:t>May</w:t>
            </w:r>
          </w:p>
        </w:tc>
        <w:tc>
          <w:tcPr>
            <w:tcW w:type="dxa" w:w="2880"/>
          </w:tcPr>
          <w:p>
            <w:r>
              <w:t>First-quarter LP report, within 60 days</w:t>
            </w:r>
          </w:p>
        </w:tc>
        <w:tc>
          <w:tcPr>
            <w:tcW w:type="dxa" w:w="2880"/>
          </w:tcPr>
          <w:p>
            <w:r>
              <w:t>Fund III</w:t>
            </w:r>
          </w:p>
        </w:tc>
      </w:tr>
      <w:tr>
        <w:tc>
          <w:tcPr>
            <w:tcW w:type="dxa" w:w="2880"/>
          </w:tcPr>
          <w:p>
            <w:r>
              <w:t>June</w:t>
            </w:r>
          </w:p>
        </w:tc>
        <w:tc>
          <w:tcPr>
            <w:tcW w:type="dxa" w:w="2880"/>
          </w:tcPr>
          <w:p>
            <w:r>
              <w:t>Interim forecast covenant review</w:t>
            </w:r>
          </w:p>
        </w:tc>
        <w:tc>
          <w:tcPr>
            <w:tcW w:type="dxa" w:w="2880"/>
          </w:tcPr>
          <w:p>
            <w:r>
              <w:t>All entities</w:t>
            </w:r>
          </w:p>
        </w:tc>
      </w:tr>
      <w:tr>
        <w:tc>
          <w:tcPr>
            <w:tcW w:type="dxa" w:w="2880"/>
          </w:tcPr>
          <w:p>
            <w:r>
              <w:t>August</w:t>
            </w:r>
          </w:p>
        </w:tc>
        <w:tc>
          <w:tcPr>
            <w:tcW w:type="dxa" w:w="2880"/>
          </w:tcPr>
          <w:p>
            <w:r>
              <w:t>Second-quarter LP report, within 60 days</w:t>
            </w:r>
          </w:p>
        </w:tc>
        <w:tc>
          <w:tcPr>
            <w:tcW w:type="dxa" w:w="2880"/>
          </w:tcPr>
          <w:p>
            <w:r>
              <w:t>Fund III</w:t>
            </w:r>
          </w:p>
        </w:tc>
      </w:tr>
      <w:tr>
        <w:tc>
          <w:tcPr>
            <w:tcW w:type="dxa" w:w="2880"/>
          </w:tcPr>
          <w:p>
            <w:r>
              <w:t>September</w:t>
            </w:r>
          </w:p>
        </w:tc>
        <w:tc>
          <w:tcPr>
            <w:tcW w:type="dxa" w:w="2880"/>
          </w:tcPr>
          <w:p>
            <w:r>
              <w:t>Annual ESG data collection for Fund III's sustainability report and LP questionnaires</w:t>
            </w:r>
          </w:p>
        </w:tc>
        <w:tc>
          <w:tcPr>
            <w:tcW w:type="dxa" w:w="2880"/>
          </w:tcPr>
          <w:p>
            <w:r>
              <w:t>All businesses</w:t>
            </w:r>
          </w:p>
        </w:tc>
      </w:tr>
      <w:tr>
        <w:tc>
          <w:tcPr>
            <w:tcW w:type="dxa" w:w="2880"/>
          </w:tcPr>
          <w:p>
            <w:r>
              <w:t>October</w:t>
            </w:r>
          </w:p>
        </w:tc>
        <w:tc>
          <w:tcPr>
            <w:tcW w:type="dxa" w:w="2880"/>
          </w:tcPr>
          <w:p>
            <w:r>
              <w:t>Insurance renewal program</w:t>
            </w:r>
          </w:p>
        </w:tc>
        <w:tc>
          <w:tcPr>
            <w:tcW w:type="dxa" w:w="2880"/>
          </w:tcPr>
          <w:p>
            <w:r>
              <w:t>Holding company</w:t>
            </w:r>
          </w:p>
        </w:tc>
      </w:tr>
      <w:tr>
        <w:tc>
          <w:tcPr>
            <w:tcW w:type="dxa" w:w="2880"/>
          </w:tcPr>
          <w:p>
            <w:r>
              <w:t>November</w:t>
            </w:r>
          </w:p>
        </w:tc>
        <w:tc>
          <w:tcPr>
            <w:tcW w:type="dxa" w:w="2880"/>
          </w:tcPr>
          <w:p>
            <w:r>
              <w:t>Third-quarter LP report, within 60 days</w:t>
            </w:r>
          </w:p>
        </w:tc>
        <w:tc>
          <w:tcPr>
            <w:tcW w:type="dxa" w:w="2880"/>
          </w:tcPr>
          <w:p>
            <w:r>
              <w:t>Fund III</w:t>
            </w:r>
          </w:p>
        </w:tc>
      </w:tr>
      <w:tr>
        <w:tc>
          <w:tcPr>
            <w:tcW w:type="dxa" w:w="2880"/>
          </w:tcPr>
          <w:p>
            <w:r>
              <w:t>December</w:t>
            </w:r>
          </w:p>
        </w:tc>
        <w:tc>
          <w:tcPr>
            <w:tcW w:type="dxa" w:w="2880"/>
          </w:tcPr>
          <w:p>
            <w:r>
              <w:t>Budget and business plan approved by the board</w:t>
            </w:r>
          </w:p>
        </w:tc>
        <w:tc>
          <w:tcPr>
            <w:tcW w:type="dxa" w:w="2880"/>
          </w:tcPr>
          <w:p>
            <w:r>
              <w:t>Holding company</w:t>
            </w:r>
          </w:p>
        </w:tc>
      </w:tr>
      <w:tr>
        <w:tc>
          <w:tcPr>
            <w:tcW w:type="dxa" w:w="2880"/>
          </w:tcPr>
          <w:p>
            <w:r>
              <w:t>December</w:t>
            </w:r>
          </w:p>
        </w:tc>
        <w:tc>
          <w:tcPr>
            <w:tcW w:type="dxa" w:w="2880"/>
          </w:tcPr>
          <w:p>
            <w:r>
              <w:t>Lifecycle plan for the coming year agreed with the subcontractor</w:t>
            </w:r>
          </w:p>
        </w:tc>
        <w:tc>
          <w:tcPr>
            <w:tcW w:type="dxa" w:w="2880"/>
          </w:tcPr>
          <w:p>
            <w:r>
              <w:t>Aldmere Schools</w:t>
            </w:r>
          </w:p>
        </w:tc>
      </w:tr>
    </w:tbl>
    <w:p>
      <w:r>
        <w:rPr>
          <w:b w:val="0"/>
        </w:rPr>
        <w:t>Every quarter, the analyst also updates the valuation file. The asset manager updates the obligations register every month.</w:t>
      </w:r>
    </w:p>
    <w:p>
      <w:pPr>
        <w:pStyle w:val="Heading2"/>
      </w:pPr>
      <w:r>
        <w:t>Quarterly LP Report Checklist</w:t>
      </w:r>
    </w:p>
    <w:p>
      <w:pPr>
        <w:spacing w:after="60"/>
        <w:ind w:left="240"/>
      </w:pPr>
      <w:r>
        <w:rPr>
          <w:b w:val="0"/>
        </w:rPr>
        <w:t xml:space="preserve">☐ </w:t>
      </w:r>
      <w:r>
        <w:rPr>
          <w:b/>
        </w:rPr>
        <w:t>Valuation, and why it changed.</w:t>
      </w:r>
      <w:r>
        <w:rPr>
          <w:b w:val="0"/>
        </w:rPr>
        <w:t xml:space="preserve"> In the case, Water is at 1.08x RAB, held until evidence supports a change. Solar is at 10.5x the EBITDA of the year just ended, normalized for one-off events. Schools is valued on its equity cash flows discounted at 8 percent, plus its debt. Owner: the analyst. Approved by: Ferrand's valuation committee.</w:t>
      </w:r>
    </w:p>
    <w:p>
      <w:pPr>
        <w:spacing w:after="60"/>
        <w:ind w:left="240"/>
      </w:pPr>
      <w:r>
        <w:rPr>
          <w:b w:val="0"/>
        </w:rPr>
        <w:t xml:space="preserve">☐ </w:t>
      </w:r>
      <w:r>
        <w:rPr>
          <w:b/>
        </w:rPr>
        <w:t>Method check.</w:t>
      </w:r>
      <w:r>
        <w:rPr>
          <w:b w:val="0"/>
        </w:rPr>
        <w:t xml:space="preserve"> Check the method against the IPEV Guidelines, whose updated edition was published on 11 December 2025. Owner: the analyst.</w:t>
      </w:r>
    </w:p>
    <w:p>
      <w:pPr>
        <w:spacing w:after="60"/>
        <w:ind w:left="240"/>
      </w:pPr>
      <w:r>
        <w:rPr>
          <w:b w:val="0"/>
        </w:rPr>
        <w:t xml:space="preserve">☐ </w:t>
      </w:r>
      <w:r>
        <w:rPr>
          <w:b/>
        </w:rPr>
        <w:t>Operating KPIs</w:t>
      </w:r>
      <w:r>
        <w:rPr>
          <w:b w:val="0"/>
        </w:rPr>
        <w:t xml:space="preserve"> for each business, compared with the previous quarter and with budget. Owner: the asset manager.</w:t>
      </w:r>
    </w:p>
    <w:p>
      <w:pPr>
        <w:spacing w:after="60"/>
        <w:ind w:left="240"/>
      </w:pPr>
      <w:r>
        <w:rPr>
          <w:b w:val="0"/>
        </w:rPr>
        <w:t xml:space="preserve">☐ </w:t>
      </w:r>
      <w:r>
        <w:rPr>
          <w:b/>
        </w:rPr>
        <w:t>Covenant compliance and headroom</w:t>
      </w:r>
      <w:r>
        <w:rPr>
          <w:b w:val="0"/>
        </w:rPr>
        <w:t xml:space="preserve"> for every entity. Owner: the asset manager.</w:t>
      </w:r>
    </w:p>
    <w:p>
      <w:pPr>
        <w:spacing w:after="60"/>
        <w:ind w:left="240"/>
      </w:pPr>
      <w:r>
        <w:rPr>
          <w:b w:val="0"/>
        </w:rPr>
        <w:t xml:space="preserve">☐ </w:t>
      </w:r>
      <w:r>
        <w:rPr>
          <w:b/>
        </w:rPr>
        <w:t>Capex</w:t>
      </w:r>
      <w:r>
        <w:rPr>
          <w:b w:val="0"/>
        </w:rPr>
        <w:t xml:space="preserve"> against plan, and against committed outputs at Water. Owner: the asset manager.</w:t>
      </w:r>
    </w:p>
    <w:p>
      <w:pPr>
        <w:spacing w:after="60"/>
        <w:ind w:left="240"/>
      </w:pPr>
      <w:r>
        <w:rPr>
          <w:b w:val="0"/>
        </w:rPr>
        <w:t xml:space="preserve">☐ </w:t>
      </w:r>
      <w:r>
        <w:rPr>
          <w:b/>
        </w:rPr>
        <w:t>ESG data</w:t>
      </w:r>
      <w:r>
        <w:rPr>
          <w:b w:val="0"/>
        </w:rPr>
        <w:t>, with avoided emissions shown separately from the platform's own emissions. Owner: the asset manager.</w:t>
      </w:r>
    </w:p>
    <w:p>
      <w:pPr>
        <w:spacing w:after="60"/>
        <w:ind w:left="240"/>
      </w:pPr>
      <w:r>
        <w:rPr>
          <w:b w:val="0"/>
        </w:rPr>
        <w:t xml:space="preserve">☐ </w:t>
      </w:r>
      <w:r>
        <w:rPr>
          <w:b/>
        </w:rPr>
        <w:t>Material events</w:t>
      </w:r>
      <w:r>
        <w:rPr>
          <w:b w:val="0"/>
        </w:rPr>
        <w:t>, reported in the quarter they happen, as the Solar substation failure and lock-up were. Owner: the asset director.</w:t>
      </w:r>
    </w:p>
    <w:p>
      <w:pPr>
        <w:spacing w:after="60"/>
        <w:ind w:left="240"/>
      </w:pPr>
      <w:r>
        <w:rPr>
          <w:b w:val="0"/>
        </w:rPr>
        <w:t xml:space="preserve">☐ </w:t>
      </w:r>
      <w:r>
        <w:rPr>
          <w:b/>
        </w:rPr>
        <w:t>Format check.</w:t>
      </w:r>
      <w:r>
        <w:rPr>
          <w:b w:val="0"/>
        </w:rPr>
        <w:t xml:space="preserve"> Check the report against the template LPs expect. ILPA released Reporting Template version 2.0 in January 2025. Owner: the analyst.</w:t>
      </w:r>
    </w:p>
    <w:p>
      <w:pPr>
        <w:spacing w:after="60"/>
        <w:ind w:left="240"/>
      </w:pPr>
      <w:r>
        <w:rPr>
          <w:b w:val="0"/>
        </w:rPr>
        <w:t xml:space="preserve">☐ </w:t>
      </w:r>
      <w:r>
        <w:rPr>
          <w:b/>
        </w:rPr>
        <w:t>Deadlines.</w:t>
      </w:r>
      <w:r>
        <w:rPr>
          <w:b w:val="0"/>
        </w:rPr>
        <w:t xml:space="preserve"> Within 60 days of quarter end, or 90 days for the fourth quarter. Owner: the head of asset management.</w:t>
      </w:r>
    </w:p>
    <w:p>
      <w:pPr>
        <w:pStyle w:val="Heading2"/>
      </w:pPr>
      <w:r>
        <w:t>Exit Readiness Checklist</w:t>
      </w:r>
    </w:p>
    <w:p>
      <w:pPr>
        <w:spacing w:after="60"/>
        <w:ind w:left="240"/>
      </w:pPr>
      <w:r>
        <w:rPr>
          <w:b w:val="0"/>
        </w:rPr>
        <w:t>☐ Vendor due diligence advisers appointed early enough that their findings can still be fixed. Owner: the head of asset management.</w:t>
      </w:r>
    </w:p>
    <w:p>
      <w:pPr>
        <w:spacing w:after="60"/>
        <w:ind w:left="240"/>
      </w:pPr>
      <w:r>
        <w:rPr>
          <w:b w:val="0"/>
        </w:rPr>
        <w:t>☐ A clean data room, with every document indexed and the current version marked. Owner: the asset manager.</w:t>
      </w:r>
    </w:p>
    <w:p>
      <w:pPr>
        <w:spacing w:after="60"/>
        <w:ind w:left="240"/>
      </w:pPr>
      <w:r>
        <w:rPr>
          <w:b w:val="0"/>
        </w:rPr>
        <w:t>☐ Governance record: board minutes, reserved matter approvals and committee papers, complete and signed. Owner: the asset director.</w:t>
      </w:r>
    </w:p>
    <w:p>
      <w:pPr>
        <w:spacing w:after="60"/>
        <w:ind w:left="240"/>
      </w:pPr>
      <w:r>
        <w:rPr>
          <w:b w:val="0"/>
        </w:rPr>
        <w:t>☐ Regulatory history for Aldmere Water: determinations, performance commitments, rewards and penalties, and correspondence. Owner: the managing director of Aldmere Water.</w:t>
      </w:r>
    </w:p>
    <w:p>
      <w:pPr>
        <w:spacing w:after="60"/>
        <w:ind w:left="240"/>
      </w:pPr>
      <w:r>
        <w:rPr>
          <w:b w:val="0"/>
        </w:rPr>
        <w:t>☐ Contract register: PPAs, the project agreement, subcontracts and financing documents, with key terms summarized. Owner: the asset manager.</w:t>
      </w:r>
    </w:p>
    <w:p>
      <w:pPr>
        <w:spacing w:after="60"/>
        <w:ind w:left="240"/>
      </w:pPr>
      <w:r>
        <w:rPr>
          <w:b w:val="0"/>
        </w:rPr>
        <w:t>☐ Covenant history, with the 2026 Solar lock-up and the release of the trapped cash in 2027 explained in one page. Owner: Aldmere's CFO.</w:t>
      </w:r>
    </w:p>
    <w:p>
      <w:pPr>
        <w:spacing w:after="60"/>
        <w:ind w:left="240"/>
      </w:pPr>
      <w:r>
        <w:rPr>
          <w:b w:val="0"/>
        </w:rPr>
        <w:t>☐ KPI and ESG data series, consistent from the start of the hold. Owner: the asset manager.</w:t>
      </w:r>
    </w:p>
    <w:p>
      <w:pPr>
        <w:spacing w:after="60"/>
        <w:ind w:left="240"/>
      </w:pPr>
      <w:r>
        <w:rPr>
          <w:b w:val="0"/>
        </w:rPr>
        <w:t>☐ Business plan and model reconciled to the latest valuation. Owner: the analyst.</w:t>
      </w:r>
    </w:p>
    <w:p>
      <w:pPr>
        <w:spacing w:after="60"/>
        <w:ind w:left="240"/>
      </w:pPr>
      <w:r>
        <w:rPr>
          <w:b w:val="0"/>
        </w:rPr>
        <w:t>☐ Management retention and incentives aligned through completion of the sale. Owner: the asset director.</w:t>
      </w:r>
    </w:p>
    <w:p>
      <w:r>
        <w:t>Julian R. Sterling, The Infrastructure Asset Manager. A working aid, not legal, tax, accounting or investment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Infrastructure Asset Manager: The Asset Manager's Toolkit</dc:title>
  <dc:subject/>
  <dc:creator>Julian R. Sterling</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