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The Infrastructure M&amp;A Handbook: Deal Checklists</w:t>
      </w:r>
    </w:p>
    <w:p>
      <w:r>
        <w:rPr>
          <w:b w:val="0"/>
        </w:rPr>
        <w:t>These checklists collect the questions raised in the chapters, in the order a deal meets them. They are starting points for a work plan, not a substitute for counsel and specialist advisers.</w:t>
      </w:r>
    </w:p>
    <w:p>
      <w:pPr>
        <w:pStyle w:val="Heading2"/>
      </w:pPr>
      <w:r>
        <w:t>B.1 Seller readiness</w:t>
      </w:r>
    </w:p>
    <w:p>
      <w:pPr>
        <w:spacing w:after="60"/>
        <w:ind w:left="240"/>
      </w:pPr>
      <w:r>
        <w:rPr>
          <w:b w:val="0"/>
        </w:rPr>
        <w:t>☐ Reason and deadline for the sale: fund term, extensions used, what the LP advisory committee expects (chapter 4).</w:t>
      </w:r>
    </w:p>
    <w:p>
      <w:pPr>
        <w:spacing w:after="60"/>
        <w:ind w:left="240"/>
      </w:pPr>
      <w:r>
        <w:rPr>
          <w:b w:val="0"/>
        </w:rPr>
        <w:t>☐ Vendor due diligence: commercial, technical, financial and tax, legal; reliance letters ready for the buyer and its lenders.</w:t>
      </w:r>
    </w:p>
    <w:p>
      <w:pPr>
        <w:spacing w:after="60"/>
        <w:ind w:left="240"/>
      </w:pPr>
      <w:r>
        <w:rPr>
          <w:b w:val="0"/>
        </w:rPr>
        <w:t>☐ Data room: contracts, concession, permits, capex history, insurance, tax filings, complete before round two.</w:t>
      </w:r>
    </w:p>
    <w:p>
      <w:pPr>
        <w:spacing w:after="60"/>
        <w:ind w:left="240"/>
      </w:pPr>
      <w:r>
        <w:rPr>
          <w:b w:val="0"/>
        </w:rPr>
        <w:t>☐ Business plan: EBITDA path by business unit, recontracting assumptions per terminal, maintenance capex, expansion shown separately.</w:t>
      </w:r>
    </w:p>
    <w:p>
      <w:pPr>
        <w:spacing w:after="60"/>
        <w:ind w:left="240"/>
      </w:pPr>
      <w:r>
        <w:rPr>
          <w:b w:val="0"/>
        </w:rPr>
        <w:t>☐ Consents: change of control clauses in debt and customer contracts; landlord or port authority consent, ideally obtained before signing.</w:t>
      </w:r>
    </w:p>
    <w:p>
      <w:pPr>
        <w:spacing w:after="60"/>
        <w:ind w:left="240"/>
      </w:pPr>
      <w:r>
        <w:rPr>
          <w:b w:val="0"/>
        </w:rPr>
        <w:t>☐ Locked box accounts: audited balance sheet at the locked box date, permitted leakage list agreed internally.</w:t>
      </w:r>
    </w:p>
    <w:p>
      <w:pPr>
        <w:spacing w:after="60"/>
        <w:ind w:left="240"/>
      </w:pPr>
      <w:r>
        <w:rPr>
          <w:b w:val="0"/>
        </w:rPr>
        <w:t>☐ Staple financing terms, if offered; minimum price set by the investment committee before binding bids.</w:t>
      </w:r>
    </w:p>
    <w:p>
      <w:pPr>
        <w:pStyle w:val="Heading2"/>
      </w:pPr>
      <w:r>
        <w:t>B.2 First-round bid letter</w:t>
      </w:r>
    </w:p>
    <w:p>
      <w:pPr>
        <w:spacing w:after="60"/>
        <w:ind w:left="240"/>
      </w:pPr>
      <w:r>
        <w:rPr>
          <w:b w:val="0"/>
        </w:rPr>
        <w:t>☐ EV range on a cash-free, debt-free basis at the date the process letter sets, with the EBITDA year behind each multiple.</w:t>
      </w:r>
    </w:p>
    <w:p>
      <w:pPr>
        <w:spacing w:after="60"/>
        <w:ind w:left="240"/>
      </w:pPr>
      <w:r>
        <w:rPr>
          <w:b w:val="0"/>
        </w:rPr>
        <w:t>☐ Main valuation assumptions: discount rate, recontracting, occupancy, concession renewal or not, expansion in or out.</w:t>
      </w:r>
    </w:p>
    <w:p>
      <w:pPr>
        <w:spacing w:after="60"/>
        <w:ind w:left="240"/>
      </w:pPr>
      <w:r>
        <w:rPr>
          <w:b w:val="0"/>
        </w:rPr>
        <w:t>☐ Financing sources and their status.</w:t>
      </w:r>
    </w:p>
    <w:p>
      <w:pPr>
        <w:spacing w:after="60"/>
        <w:ind w:left="240"/>
      </w:pPr>
      <w:r>
        <w:rPr>
          <w:b w:val="0"/>
        </w:rPr>
        <w:t>☐ Consortium members, with the seller's consent to any teaming.</w:t>
      </w:r>
    </w:p>
    <w:p>
      <w:pPr>
        <w:spacing w:after="60"/>
        <w:ind w:left="240"/>
      </w:pPr>
      <w:r>
        <w:rPr>
          <w:b w:val="0"/>
        </w:rPr>
        <w:t>☐ Approvals needed and an estimate of timing.</w:t>
      </w:r>
    </w:p>
    <w:p>
      <w:pPr>
        <w:pStyle w:val="Heading2"/>
      </w:pPr>
      <w:r>
        <w:t>B.3 Confirmatory diligence</w:t>
      </w:r>
    </w:p>
    <w:p>
      <w:pPr>
        <w:spacing w:after="60"/>
        <w:ind w:left="240"/>
      </w:pPr>
      <w:r>
        <w:rPr>
          <w:b w:val="0"/>
        </w:rPr>
        <w:t xml:space="preserve">☐ </w:t>
      </w:r>
      <w:r>
        <w:rPr>
          <w:b/>
        </w:rPr>
        <w:t>Commercial:</w:t>
      </w:r>
      <w:r>
        <w:rPr>
          <w:b w:val="0"/>
        </w:rPr>
        <w:t xml:space="preserve"> customer calls through a clean team; renewal intentions of the largest customers; market rates against current contract rates by terminal and product.</w:t>
      </w:r>
    </w:p>
    <w:p>
      <w:pPr>
        <w:spacing w:after="60"/>
        <w:ind w:left="240"/>
      </w:pPr>
      <w:r>
        <w:rPr>
          <w:b w:val="0"/>
        </w:rPr>
        <w:t xml:space="preserve">☐ </w:t>
      </w:r>
      <w:r>
        <w:rPr>
          <w:b/>
        </w:rPr>
        <w:t>Technical:</w:t>
      </w:r>
      <w:r>
        <w:rPr>
          <w:b w:val="0"/>
        </w:rPr>
        <w:t xml:space="preserve"> site visit at every business unit; condition of jetties and tanks; capex absent from the seller's plan.</w:t>
      </w:r>
    </w:p>
    <w:p>
      <w:pPr>
        <w:spacing w:after="60"/>
        <w:ind w:left="240"/>
      </w:pPr>
      <w:r>
        <w:rPr>
          <w:b w:val="0"/>
        </w:rPr>
        <w:t xml:space="preserve">☐ </w:t>
      </w:r>
      <w:r>
        <w:rPr>
          <w:b/>
        </w:rPr>
        <w:t>Concession:</w:t>
      </w:r>
      <w:r>
        <w:rPr>
          <w:b w:val="0"/>
        </w:rPr>
        <w:t xml:space="preserve"> end date, handback obligations and their cost, renewal terms, the grantor's consent rights on a change of control.</w:t>
      </w:r>
    </w:p>
    <w:p>
      <w:pPr>
        <w:spacing w:after="60"/>
        <w:ind w:left="240"/>
      </w:pPr>
      <w:r>
        <w:rPr>
          <w:b w:val="0"/>
        </w:rPr>
        <w:t xml:space="preserve">☐ </w:t>
      </w:r>
      <w:r>
        <w:rPr>
          <w:b/>
        </w:rPr>
        <w:t>Tax:</w:t>
      </w:r>
      <w:r>
        <w:rPr>
          <w:b w:val="0"/>
        </w:rPr>
        <w:t xml:space="preserve"> structuring review, interest deductibility, tax due at the locked box date, open years, tax covenant and its insurance.</w:t>
      </w:r>
    </w:p>
    <w:p>
      <w:pPr>
        <w:spacing w:after="60"/>
        <w:ind w:left="240"/>
      </w:pPr>
      <w:r>
        <w:rPr>
          <w:b w:val="0"/>
        </w:rPr>
        <w:t xml:space="preserve">☐ </w:t>
      </w:r>
      <w:r>
        <w:rPr>
          <w:b/>
        </w:rPr>
        <w:t>Insurance and ESG:</w:t>
      </w:r>
      <w:r>
        <w:rPr>
          <w:b w:val="0"/>
        </w:rPr>
        <w:t xml:space="preserve"> coming premium increases (windstorm cover in the case), energy transition exposure by product, environmental liabilities.</w:t>
      </w:r>
    </w:p>
    <w:p>
      <w:pPr>
        <w:spacing w:after="60"/>
        <w:ind w:left="240"/>
      </w:pPr>
      <w:r>
        <w:rPr>
          <w:b w:val="0"/>
        </w:rPr>
        <w:t>☐ For each finding: price, protection or walk away (chapter 6).</w:t>
      </w:r>
    </w:p>
    <w:p>
      <w:pPr>
        <w:pStyle w:val="Heading2"/>
      </w:pPr>
      <w:r>
        <w:t>B.4 Binding bid package</w:t>
      </w:r>
    </w:p>
    <w:p>
      <w:pPr>
        <w:spacing w:after="60"/>
        <w:ind w:left="240"/>
      </w:pPr>
      <w:r>
        <w:rPr>
          <w:b w:val="0"/>
        </w:rPr>
        <w:t>☐ Headline EV and the equity price that follows from it, bridge shown line by line (chapter 10).</w:t>
      </w:r>
    </w:p>
    <w:p>
      <w:pPr>
        <w:spacing w:after="60"/>
        <w:ind w:left="240"/>
      </w:pPr>
      <w:r>
        <w:rPr>
          <w:b w:val="0"/>
        </w:rPr>
        <w:t>☐ Mechanism: locked box with ticking fee, or completion accounts; leakage covenant accepted.</w:t>
      </w:r>
    </w:p>
    <w:p>
      <w:pPr>
        <w:spacing w:after="60"/>
        <w:ind w:left="240"/>
      </w:pPr>
      <w:r>
        <w:rPr>
          <w:b w:val="0"/>
        </w:rPr>
        <w:t>☐ Earn-out, if any, with its trigger, date and amount.</w:t>
      </w:r>
    </w:p>
    <w:p>
      <w:pPr>
        <w:spacing w:after="60"/>
        <w:ind w:left="240"/>
      </w:pPr>
      <w:r>
        <w:rPr>
          <w:b w:val="0"/>
        </w:rPr>
        <w:t>☐ Fully committed financing: commitment papers, certain funds, fees, hedging plan.</w:t>
      </w:r>
    </w:p>
    <w:p>
      <w:pPr>
        <w:spacing w:after="60"/>
        <w:ind w:left="240"/>
      </w:pPr>
      <w:r>
        <w:rPr>
          <w:b w:val="0"/>
        </w:rPr>
        <w:t>☐ Regulatory analysis by regime, with a realistic closing date.</w:t>
      </w:r>
    </w:p>
    <w:p>
      <w:pPr>
        <w:spacing w:after="60"/>
        <w:ind w:left="240"/>
      </w:pPr>
      <w:r>
        <w:rPr>
          <w:b w:val="0"/>
        </w:rPr>
        <w:t>☐ Marked-up SPA and W&amp;I proposal from the broker.</w:t>
      </w:r>
    </w:p>
    <w:p>
      <w:pPr>
        <w:spacing w:after="60"/>
        <w:ind w:left="240"/>
      </w:pPr>
      <w:r>
        <w:rPr>
          <w:b w:val="0"/>
        </w:rPr>
        <w:t>☐ Walk-away price checked against the target return and the main sensitivities (chapter 11).</w:t>
      </w:r>
    </w:p>
    <w:p>
      <w:pPr>
        <w:pStyle w:val="Heading2"/>
      </w:pPr>
      <w:r>
        <w:t>B.5 Regulatory filing map</w:t>
      </w:r>
    </w:p>
    <w:p>
      <w:pPr>
        <w:spacing w:after="60"/>
        <w:ind w:left="240"/>
      </w:pPr>
      <w:r>
        <w:rPr>
          <w:b w:val="0"/>
        </w:rPr>
        <w:t xml:space="preserve">☐ </w:t>
      </w:r>
      <w:r>
        <w:rPr>
          <w:b/>
        </w:rPr>
        <w:t>Merger control:</w:t>
      </w:r>
      <w:r>
        <w:rPr>
          <w:b w:val="0"/>
        </w:rPr>
        <w:t xml:space="preserve"> who acquires control, and is it joint; turnover of each undertaking concerned against EU, US and UK tests; simplified procedure available?</w:t>
      </w:r>
    </w:p>
    <w:p>
      <w:pPr>
        <w:spacing w:after="60"/>
        <w:ind w:left="240"/>
      </w:pPr>
      <w:r>
        <w:rPr>
          <w:b w:val="0"/>
        </w:rPr>
        <w:t xml:space="preserve">☐ </w:t>
      </w:r>
      <w:r>
        <w:rPr>
          <w:b/>
        </w:rPr>
        <w:t>HSR:</w:t>
      </w:r>
      <w:r>
        <w:rPr>
          <w:b w:val="0"/>
        </w:rPr>
        <w:t xml:space="preserve"> size of transaction against the current threshold; filing fee band; form in use at the filing date.</w:t>
      </w:r>
    </w:p>
    <w:p>
      <w:pPr>
        <w:spacing w:after="60"/>
        <w:ind w:left="240"/>
      </w:pPr>
      <w:r>
        <w:rPr>
          <w:b w:val="0"/>
        </w:rPr>
        <w:t xml:space="preserve">☐ </w:t>
      </w:r>
      <w:r>
        <w:rPr>
          <w:b/>
        </w:rPr>
        <w:t>CFIUS:</w:t>
      </w:r>
      <w:r>
        <w:rPr>
          <w:b w:val="0"/>
        </w:rPr>
        <w:t xml:space="preserve"> foreign persons in the consortium and their rights; is the US business covered investment critical infrastructure; mandatory or voluntary filing; declaration or notice.</w:t>
      </w:r>
    </w:p>
    <w:p>
      <w:pPr>
        <w:spacing w:after="60"/>
        <w:ind w:left="240"/>
      </w:pPr>
      <w:r>
        <w:rPr>
          <w:b w:val="0"/>
        </w:rPr>
        <w:t xml:space="preserve">☐ </w:t>
      </w:r>
      <w:r>
        <w:rPr>
          <w:b/>
        </w:rPr>
        <w:t>NSIA:</w:t>
      </w:r>
      <w:r>
        <w:rPr>
          <w:b w:val="0"/>
        </w:rPr>
        <w:t xml:space="preserve"> does any UK entity fall in a sensitive sector; which shareholding thresholds are crossed.</w:t>
      </w:r>
    </w:p>
    <w:p>
      <w:pPr>
        <w:spacing w:after="60"/>
        <w:ind w:left="240"/>
      </w:pPr>
      <w:r>
        <w:rPr>
          <w:b w:val="0"/>
        </w:rPr>
        <w:t xml:space="preserve">☐ </w:t>
      </w:r>
      <w:r>
        <w:rPr>
          <w:b/>
        </w:rPr>
        <w:t>FSR:</w:t>
      </w:r>
      <w:r>
        <w:rPr>
          <w:b w:val="0"/>
        </w:rPr>
        <w:t xml:space="preserve"> EU turnover of the target against the threshold; foreign financial contributions received by each party over three years.</w:t>
      </w:r>
    </w:p>
    <w:p>
      <w:pPr>
        <w:spacing w:after="60"/>
        <w:ind w:left="240"/>
      </w:pPr>
      <w:r>
        <w:rPr>
          <w:b w:val="0"/>
        </w:rPr>
        <w:t xml:space="preserve">☐ </w:t>
      </w:r>
      <w:r>
        <w:rPr>
          <w:b/>
        </w:rPr>
        <w:t>National FDI:</w:t>
      </w:r>
      <w:r>
        <w:rPr>
          <w:b w:val="0"/>
        </w:rPr>
        <w:t xml:space="preserve"> designated vital providers; the revised EU FDI Screening Regulation and the date it applies.</w:t>
      </w:r>
    </w:p>
    <w:p>
      <w:pPr>
        <w:spacing w:after="60"/>
        <w:ind w:left="240"/>
      </w:pPr>
      <w:r>
        <w:rPr>
          <w:b w:val="0"/>
        </w:rPr>
        <w:t>☐ For each regime: standstill or not, statutory timetable, slow case, and the cost of the slow case (chapter 13).</w:t>
      </w:r>
    </w:p>
    <w:p>
      <w:pPr>
        <w:pStyle w:val="Heading2"/>
      </w:pPr>
      <w:r>
        <w:t>B.6 SPA and W&amp;I negotiation</w:t>
      </w:r>
    </w:p>
    <w:p>
      <w:pPr>
        <w:spacing w:after="60"/>
        <w:ind w:left="240"/>
      </w:pPr>
      <w:r>
        <w:rPr>
          <w:b w:val="0"/>
        </w:rPr>
        <w:t>☐ Fundamental warranties (title, capacity) and their cap; business warranties and who gives them.</w:t>
      </w:r>
    </w:p>
    <w:p>
      <w:pPr>
        <w:spacing w:after="60"/>
        <w:ind w:left="240"/>
      </w:pPr>
      <w:r>
        <w:rPr>
          <w:b w:val="0"/>
        </w:rPr>
        <w:t>☐ Disclosure letter: specific, not general; data room disclosure limited.</w:t>
      </w:r>
    </w:p>
    <w:p>
      <w:pPr>
        <w:spacing w:after="60"/>
        <w:ind w:left="240"/>
      </w:pPr>
      <w:r>
        <w:rPr>
          <w:b w:val="0"/>
        </w:rPr>
        <w:t>☐ W&amp;I: limit, retention and step-down, premium and tax, exclusions, known issues kept out of the policy and priced instead.</w:t>
      </w:r>
    </w:p>
    <w:p>
      <w:pPr>
        <w:spacing w:after="60"/>
        <w:ind w:left="240"/>
      </w:pPr>
      <w:r>
        <w:rPr>
          <w:b w:val="0"/>
        </w:rPr>
        <w:t>☐ Specific indemnities for known issues the price does not cover.</w:t>
      </w:r>
    </w:p>
    <w:p>
      <w:pPr>
        <w:spacing w:after="60"/>
        <w:ind w:left="240"/>
      </w:pPr>
      <w:r>
        <w:rPr>
          <w:b w:val="0"/>
        </w:rPr>
        <w:t>☐ Seller cap: clean exit or escrow, and what it is worth to the seller.</w:t>
      </w:r>
    </w:p>
    <w:p>
      <w:pPr>
        <w:spacing w:after="60"/>
        <w:ind w:left="240"/>
      </w:pPr>
      <w:r>
        <w:rPr>
          <w:b w:val="0"/>
        </w:rPr>
        <w:t>☐ Earn-out drafting: objective trigger, buyer covenants, no partial payment unless agreed (chapter 14).</w:t>
      </w:r>
    </w:p>
    <w:p>
      <w:pPr>
        <w:spacing w:after="60"/>
        <w:ind w:left="240"/>
      </w:pPr>
      <w:r>
        <w:rPr>
          <w:b w:val="0"/>
        </w:rPr>
        <w:t>☐ MAC condition: excluded or defined narrowly.</w:t>
      </w:r>
    </w:p>
    <w:p>
      <w:pPr>
        <w:pStyle w:val="Heading2"/>
      </w:pPr>
      <w:r>
        <w:t>B.7 Signing to closing</w:t>
      </w:r>
    </w:p>
    <w:p>
      <w:pPr>
        <w:spacing w:after="60"/>
        <w:ind w:left="240"/>
      </w:pPr>
      <w:r>
        <w:rPr>
          <w:b w:val="0"/>
        </w:rPr>
        <w:t>☐ CP tracker: each condition, the filing date, the expected and the slow-case clearance date, the long stop date and any extension.</w:t>
      </w:r>
    </w:p>
    <w:p>
      <w:pPr>
        <w:spacing w:after="60"/>
        <w:ind w:left="240"/>
      </w:pPr>
      <w:r>
        <w:rPr>
          <w:b w:val="0"/>
        </w:rPr>
        <w:t>☐ Conduct of business covenants: actions needing buyer consent; information rights.</w:t>
      </w:r>
    </w:p>
    <w:p>
      <w:pPr>
        <w:spacing w:after="60"/>
        <w:ind w:left="240"/>
      </w:pPr>
      <w:r>
        <w:rPr>
          <w:b w:val="0"/>
        </w:rPr>
        <w:t>☐ Leakage watch: every payment to the seller or its affiliates checked against the permitted list.</w:t>
      </w:r>
    </w:p>
    <w:p>
      <w:pPr>
        <w:spacing w:after="60"/>
        <w:ind w:left="240"/>
      </w:pPr>
      <w:r>
        <w:rPr>
          <w:b w:val="0"/>
        </w:rPr>
        <w:t>☐ W&amp;I brought down to closing; new board and signatories ready.</w:t>
      </w:r>
    </w:p>
    <w:p>
      <w:pPr>
        <w:spacing w:after="60"/>
        <w:ind w:left="240"/>
      </w:pPr>
      <w:r>
        <w:rPr>
          <w:b w:val="0"/>
        </w:rPr>
        <w:t>☐ Funds flow memorandum agreed before closing: equity price, ticking fee, debt repaid and security released, debt-like items settled, fees paid.</w:t>
      </w:r>
    </w:p>
    <w:p>
      <w:pPr>
        <w:pStyle w:val="Heading2"/>
      </w:pPr>
      <w:r>
        <w:t>B.8 Consortium agreement</w:t>
      </w:r>
    </w:p>
    <w:p>
      <w:pPr>
        <w:spacing w:after="60"/>
        <w:ind w:left="240"/>
      </w:pPr>
      <w:r>
        <w:rPr>
          <w:b w:val="0"/>
        </w:rPr>
        <w:t>☐ Exclusivity among partners and the no-teaming terms of the process letter.</w:t>
      </w:r>
    </w:p>
    <w:p>
      <w:pPr>
        <w:spacing w:after="60"/>
        <w:ind w:left="240"/>
      </w:pPr>
      <w:r>
        <w:rPr>
          <w:b w:val="0"/>
        </w:rPr>
        <w:t>☐ Decision making during the bid: who decides the price, the walk-away, the SPA positions.</w:t>
      </w:r>
    </w:p>
    <w:p>
      <w:pPr>
        <w:spacing w:after="60"/>
        <w:ind w:left="240"/>
      </w:pPr>
      <w:r>
        <w:rPr>
          <w:b w:val="0"/>
        </w:rPr>
        <w:t>☐ Equity cheques by partner; bid costs shared pro rata if the bid fails.</w:t>
      </w:r>
    </w:p>
    <w:p>
      <w:pPr>
        <w:spacing w:after="60"/>
        <w:ind w:left="240"/>
      </w:pPr>
      <w:r>
        <w:rPr>
          <w:b w:val="0"/>
        </w:rPr>
        <w:t>☐ Governance after closing: board seats, observers, reserved matters and their voting threshold.</w:t>
      </w:r>
    </w:p>
    <w:p>
      <w:pPr>
        <w:spacing w:after="60"/>
        <w:ind w:left="240"/>
      </w:pPr>
      <w:r>
        <w:rPr>
          <w:b w:val="0"/>
        </w:rPr>
        <w:t>☐ Information barriers for passive or foreign investors, consistent with the regulatory analysis.</w:t>
      </w:r>
    </w:p>
    <w:p>
      <w:pPr>
        <w:spacing w:after="60"/>
        <w:ind w:left="240"/>
      </w:pPr>
      <w:r>
        <w:rPr>
          <w:b w:val="0"/>
        </w:rPr>
        <w:t>☐ Transfers: lock-up, pre-emption, tag-along, drag-along.</w:t>
      </w:r>
    </w:p>
    <w:p>
      <w:pPr>
        <w:spacing w:after="60"/>
        <w:ind w:left="240"/>
      </w:pPr>
      <w:r>
        <w:rPr>
          <w:b w:val="0"/>
        </w:rPr>
        <w:t>☐ Terms and fees: same terms for all partners, fee and carry position stated.</w:t>
      </w:r>
    </w:p>
    <w:p>
      <w:r>
        <w:t>Julian R. Sterling, The Infrastructure M&amp;A Handbook. Starting points for a work plan, not a substitute for counsel and specialist advisers.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Georgia" w:hAnsi="Georgia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Georgia" w:hAnsi="Georgia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Georgia" w:hAnsi="Georgia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Georgia" w:hAnsi="Georgia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Infrastructure M&amp;A Handbook: Deal Checklists</dc:title>
  <dc:subject/>
  <dc:creator>Julian R. Sterling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en-US</dc:language>
</cp:coreProperties>
</file>