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Nuclear Energy Investor: Diligence Checklists</w:t>
      </w:r>
    </w:p>
    <w:p>
      <w:r>
        <w:t>These checklists collect the questions raised in the chapters. They are starting points for a diligence plan, not substitutes for specialist advisers.</w:t>
      </w:r>
    </w:p>
    <w:p>
      <w:pPr>
        <w:pStyle w:val="Heading2"/>
      </w:pPr>
      <w:r>
        <w:t>B.1 Acquiring an operating plant</w:t>
      </w:r>
    </w:p>
    <w:p>
      <w:r>
        <w:rPr>
          <w:b/>
        </w:rPr>
        <w:t>License and regulation</w:t>
      </w:r>
    </w:p>
    <w:p>
      <w:pPr>
        <w:pStyle w:val="ListBullet"/>
      </w:pPr>
      <w:r>
        <w:t>☐ Remaining license term of each unit; status and plan for any renewal; open regulatory findings and the plant's oversight history.</w:t>
      </w:r>
    </w:p>
    <w:p>
      <w:pPr>
        <w:pStyle w:val="ListBullet"/>
      </w:pPr>
      <w:r>
        <w:t>☐ Approvals needed for the license transfer, expected timing, likely conditions.</w:t>
      </w:r>
    </w:p>
    <w:p>
      <w:pPr>
        <w:pStyle w:val="ListBullet"/>
      </w:pPr>
      <w:r>
        <w:t>☐ Pending rulemakings or proceedings that affect the plant (market rules, co-location, credits).</w:t>
      </w:r>
    </w:p>
    <w:p>
      <w:r>
        <w:rPr>
          <w:b/>
        </w:rPr>
        <w:t>Operations</w:t>
      </w:r>
    </w:p>
    <w:p>
      <w:pPr>
        <w:pStyle w:val="ListBullet"/>
      </w:pPr>
      <w:r>
        <w:t>☐ Capacity factor by unit for at least ten years; refueling outage durations; unplanned trips and their causes.</w:t>
      </w:r>
    </w:p>
    <w:p>
      <w:pPr>
        <w:pStyle w:val="ListBullet"/>
      </w:pPr>
      <w:r>
        <w:t>☐ Condition and replacement history of major components; the long-term capital plan.</w:t>
      </w:r>
    </w:p>
    <w:p>
      <w:pPr>
        <w:pStyle w:val="ListBullet"/>
      </w:pPr>
      <w:r>
        <w:t>☐ Staffing: licensed operators, key personnel, union agreements, retention through the change of ownership.</w:t>
      </w:r>
    </w:p>
    <w:p>
      <w:r>
        <w:rPr>
          <w:b/>
        </w:rPr>
        <w:t>Revenue</w:t>
      </w:r>
    </w:p>
    <w:p>
      <w:pPr>
        <w:pStyle w:val="ListBullet"/>
      </w:pPr>
      <w:r>
        <w:t>☐ Power sales: merchant exposure, contracts, their terms, counterparties, assignment rights.</w:t>
      </w:r>
    </w:p>
    <w:p>
      <w:pPr>
        <w:pStyle w:val="ListBullet"/>
      </w:pPr>
      <w:r>
        <w:t>☐ 45U position through 2032, at transfer value; what replaces it after.</w:t>
      </w:r>
    </w:p>
    <w:p>
      <w:pPr>
        <w:pStyle w:val="ListBullet"/>
      </w:pPr>
      <w:r>
        <w:t>☐ Capacity commitments and penalties.</w:t>
      </w:r>
    </w:p>
    <w:p>
      <w:r>
        <w:rPr>
          <w:b/>
        </w:rPr>
        <w:t>Fuel</w:t>
      </w:r>
    </w:p>
    <w:p>
      <w:pPr>
        <w:pStyle w:val="ListBullet"/>
      </w:pPr>
      <w:r>
        <w:t>☐ The fuel book: contracts by component (uranium, conversion, enrichment, fabrication), quantities, prices, origin, flexibility, assignment.</w:t>
      </w:r>
    </w:p>
    <w:p>
      <w:pPr>
        <w:pStyle w:val="ListBullet"/>
      </w:pPr>
      <w:r>
        <w:t>☐ Inventory by location and form; coverage of the next several reloads.</w:t>
      </w:r>
    </w:p>
    <w:p>
      <w:r>
        <w:rPr>
          <w:b/>
        </w:rPr>
        <w:t>Decommissioning and used fuel</w:t>
      </w:r>
    </w:p>
    <w:p>
      <w:pPr>
        <w:pStyle w:val="ListBullet"/>
      </w:pPr>
      <w:r>
        <w:t>☐ Trust balance, investment policy, returns; latest site-specific estimate and its history; funding under each possible life.</w:t>
      </w:r>
    </w:p>
    <w:p>
      <w:pPr>
        <w:pStyle w:val="ListBullet"/>
      </w:pPr>
      <w:r>
        <w:t>☐ Used fuel inventory, storage capacity, claims against the government.</w:t>
      </w:r>
    </w:p>
    <w:p>
      <w:r>
        <w:rPr>
          <w:b/>
        </w:rPr>
        <w:t>Liability and insurance</w:t>
      </w:r>
    </w:p>
    <w:p>
      <w:pPr>
        <w:pStyle w:val="ListBullet"/>
      </w:pPr>
      <w:r>
        <w:t>☐ Primary and secondary nuclear liability coverage; property and outage insurance.</w:t>
      </w:r>
    </w:p>
    <w:p>
      <w:pPr>
        <w:pStyle w:val="Heading2"/>
      </w:pPr>
      <w:r>
        <w:t>B.2 Investing in new build</w:t>
      </w:r>
    </w:p>
    <w:p>
      <w:pPr>
        <w:pStyle w:val="ListBullet"/>
      </w:pPr>
      <w:r>
        <w:t>☐ Percentage of detailed design complete, certified by whom.</w:t>
      </w:r>
    </w:p>
    <w:p>
      <w:pPr>
        <w:pStyle w:val="ListBullet"/>
      </w:pPr>
      <w:r>
        <w:t>☐ First of a kind, first in this country, or a repeat?</w:t>
      </w:r>
    </w:p>
    <w:p>
      <w:pPr>
        <w:pStyle w:val="ListBullet"/>
      </w:pPr>
      <w:r>
        <w:t>☐ Critical-path components, suppliers, recent nuclear-grade delivery record.</w:t>
      </w:r>
    </w:p>
    <w:p>
      <w:pPr>
        <w:pStyle w:val="ListBullet"/>
      </w:pPr>
      <w:r>
        <w:t>☐ Construction contract form; who bears overruns, to what amount; contractor balance sheet.</w:t>
      </w:r>
    </w:p>
    <w:p>
      <w:pPr>
        <w:pStyle w:val="ListBullet"/>
      </w:pPr>
      <w:r>
        <w:t>☐ Construction financing, rate, and who bears the cost of delay.</w:t>
      </w:r>
    </w:p>
    <w:p>
      <w:pPr>
        <w:pStyle w:val="ListBullet"/>
      </w:pPr>
      <w:r>
        <w:t>☐ Licensing path and status; site permits; environmental review.</w:t>
      </w:r>
    </w:p>
    <w:p>
      <w:pPr>
        <w:pStyle w:val="ListBullet"/>
      </w:pPr>
      <w:r>
        <w:t>☐ Revenue during and after construction: regulated, contracted or merchant.</w:t>
      </w:r>
    </w:p>
    <w:p>
      <w:pPr>
        <w:pStyle w:val="ListBullet"/>
      </w:pPr>
      <w:r>
        <w:t>☐ Public support: each form, its conditions, deadlines and political dependency.</w:t>
      </w:r>
    </w:p>
    <w:p>
      <w:pPr>
        <w:pStyle w:val="ListBullet"/>
      </w:pPr>
      <w:r>
        <w:t>☐ Fuel: enrichment level, supplier, HALEU dependency.</w:t>
      </w:r>
    </w:p>
    <w:p>
      <w:pPr>
        <w:pStyle w:val="ListBullet"/>
      </w:pPr>
      <w:r>
        <w:t>☐ Cost of power at a 50 percent overrun and a five-year delay.</w:t>
      </w:r>
    </w:p>
    <w:p>
      <w:pPr>
        <w:pStyle w:val="Heading2"/>
      </w:pPr>
      <w:r>
        <w:t>B.3 The power contract</w:t>
      </w:r>
    </w:p>
    <w:p>
      <w:pPr>
        <w:pStyle w:val="ListBullet"/>
      </w:pPr>
      <w:r>
        <w:t>☐ Volume, shape (unit-contingent or firm), price, escalation, term.</w:t>
      </w:r>
    </w:p>
    <w:p>
      <w:pPr>
        <w:pStyle w:val="ListBullet"/>
      </w:pPr>
      <w:r>
        <w:t>☐ Minimum availability and damages; outage coordination.</w:t>
      </w:r>
    </w:p>
    <w:p>
      <w:pPr>
        <w:pStyle w:val="ListBullet"/>
      </w:pPr>
      <w:r>
        <w:t>☐ License risk: what happens if a renewal is delayed or denied.</w:t>
      </w:r>
    </w:p>
    <w:p>
      <w:pPr>
        <w:pStyle w:val="ListBullet"/>
      </w:pPr>
      <w:r>
        <w:t>☐ Change in law: grid charges, credits, carbon prices.</w:t>
      </w:r>
    </w:p>
    <w:p>
      <w:pPr>
        <w:pStyle w:val="ListBullet"/>
      </w:pPr>
      <w:r>
        <w:t>☐ Credit support and assignment; lenders' direct agreement.</w:t>
      </w:r>
    </w:p>
    <w:p>
      <w:pPr>
        <w:pStyle w:val="ListBullet"/>
      </w:pPr>
      <w:r>
        <w:t>☐ Environmental attributes: definition, hourly tracking, registry changes.</w:t>
      </w:r>
    </w:p>
    <w:p>
      <w:pPr>
        <w:pStyle w:val="ListBullet"/>
      </w:pPr>
      <w:r>
        <w:t>☐ Interaction with 45U and any other credit.</w:t>
      </w:r>
    </w:p>
    <w:p>
      <w:pPr>
        <w:pStyle w:val="Heading2"/>
      </w:pPr>
      <w:r>
        <w:t>B.4 The lender's file</w:t>
      </w:r>
    </w:p>
    <w:p>
      <w:pPr>
        <w:pStyle w:val="ListBullet"/>
      </w:pPr>
      <w:r>
        <w:t>☐ Contracted and merchant cash flows separated; coverage ratios for each.</w:t>
      </w:r>
    </w:p>
    <w:p>
      <w:pPr>
        <w:pStyle w:val="ListBullet"/>
      </w:pPr>
      <w:r>
        <w:t>☐ Tenor inside the license with a tail; sweep tied to license milestones.</w:t>
      </w:r>
    </w:p>
    <w:p>
      <w:pPr>
        <w:pStyle w:val="ListBullet"/>
      </w:pPr>
      <w:r>
        <w:t>☐ Gearing cap and the equity cushion for a year without revenue.</w:t>
      </w:r>
    </w:p>
    <w:p>
      <w:pPr>
        <w:pStyle w:val="ListBullet"/>
      </w:pPr>
      <w:r>
        <w:t>☐ Decommissioning ring-fenced and funded in the model before debt service.</w:t>
      </w:r>
    </w:p>
    <w:p>
      <w:pPr>
        <w:pStyle w:val="ListBullet"/>
      </w:pPr>
      <w:r>
        <w:t>☐ Liability regime and legal comfort that lenders are not operators.</w:t>
      </w:r>
    </w:p>
    <w:p>
      <w:pPr>
        <w:pStyle w:val="ListBullet"/>
      </w:pPr>
      <w:r>
        <w:t>☐ Reserve accounts: debt service, major maintenance, fuel.</w:t>
      </w:r>
    </w:p>
    <w:p>
      <w:pPr>
        <w:pStyle w:val="ListBullet"/>
      </w:pPr>
      <w:r>
        <w:t>☐ Reporting: capacity factor, outages, regulatory findings, renewal progress.</w:t>
      </w:r>
    </w:p>
    <w:p>
      <w:pPr>
        <w:pStyle w:val="Heading2"/>
      </w:pPr>
      <w:r>
        <w:t>B.5 A listed or private position in a portfolio</w:t>
      </w:r>
    </w:p>
    <w:p>
      <w:pPr>
        <w:pStyle w:val="ListBullet"/>
      </w:pPr>
      <w:r>
        <w:t>☐ Which of the drivers in Chapter 15 move it, and what else in the portfolio shares them.</w:t>
      </w:r>
    </w:p>
    <w:p>
      <w:pPr>
        <w:pStyle w:val="ListBullet"/>
      </w:pPr>
      <w:r>
        <w:t>☐ What exists (operating, signed, under construction) versus what is announced.</w:t>
      </w:r>
    </w:p>
    <w:p>
      <w:pPr>
        <w:pStyle w:val="ListBullet"/>
      </w:pPr>
      <w:r>
        <w:t>☐ Share of value that depends on a credit, program or rule that could change.</w:t>
      </w:r>
    </w:p>
    <w:p>
      <w:pPr>
        <w:pStyle w:val="ListBullet"/>
      </w:pPr>
      <w:r>
        <w:t>☐ For producers: the contract book. For developers: the order book in layers. For owners: the license and the contracts.</w:t>
      </w:r>
    </w:p>
    <w:p>
      <w:r>
        <w:t>Julian R. Sterling, The Nuclear Energy Investor. Starting points for a diligence plan, not a substitute for specialist advisers.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eorgia" w:hAnsi="Georgi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Nuclear Energy Investor: Diligence Checklists</dc:title>
  <dc:subject/>
  <dc:creator>Julian R. Sterling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