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Renewable Energy Development Handbook: Diligence Checklists</w:t>
      </w:r>
    </w:p>
    <w:p>
      <w:r>
        <w:rPr>
          <w:i/>
        </w:rPr>
        <w:t>Julian R. Sterling. Appendix B of the book in editable form: tick each box as the item is reviewed.</w:t>
      </w:r>
    </w:p>
    <w:p>
      <w:r>
        <w:t>These checklists gather the questions raised in the chapters, in the order a buyer at notice to proceed would work through them. They are a starting point for a diligence plan, not a substitute for specialist advisers; every rule cited carries its date.</w:t>
      </w:r>
    </w:p>
    <w:p>
      <w:pPr>
        <w:pStyle w:val="Heading2"/>
      </w:pPr>
      <w:r>
        <w:t>B.1 Land and site control</w:t>
      </w:r>
    </w:p>
    <w:p>
      <w:pPr>
        <w:spacing w:after="60"/>
        <w:ind w:left="510" w:hanging="340"/>
      </w:pPr>
      <w:r>
        <w:t>☐  Option and lease agreements for every parcel, signed by every owner of record, with the project company (or an assignee it controls) as tenant.</w:t>
      </w:r>
    </w:p>
    <w:p>
      <w:pPr>
        <w:spacing w:after="60"/>
        <w:ind w:left="510" w:hanging="340"/>
      </w:pPr>
      <w:r>
        <w:t>☐  Option term, exercise notice and payments made; lease term, extensions, rent and escalation, as described in chapter 3.</w:t>
      </w:r>
    </w:p>
    <w:p>
      <w:pPr>
        <w:spacing w:after="60"/>
        <w:ind w:left="510" w:hanging="340"/>
      </w:pPr>
      <w:r>
        <w:t>☐  Site control at the level FERC Order No. 2023 (28 July 2023) requires at the interconnection request and, in full, at the facilities study.</w:t>
      </w:r>
    </w:p>
    <w:p>
      <w:pPr>
        <w:spacing w:after="60"/>
        <w:ind w:left="510" w:hanging="340"/>
      </w:pPr>
      <w:r>
        <w:t>☐  Assignment rights without landowner consent to a buyer, an affiliate or a lender; leasehold mortgage and lender cure rights; estoppel certificates.</w:t>
      </w:r>
    </w:p>
    <w:p>
      <w:pPr>
        <w:spacing w:after="60"/>
        <w:ind w:left="510" w:hanging="340"/>
      </w:pPr>
      <w:r>
        <w:t>☐  Crop, grazing and access rights kept by the landowners.</w:t>
      </w:r>
    </w:p>
    <w:p>
      <w:pPr>
        <w:spacing w:after="60"/>
        <w:ind w:left="510" w:hanging="340"/>
      </w:pPr>
      <w:r>
        <w:t>☐  Decommissioning obligations in the lease, consistent with the county permit and its security.</w:t>
      </w:r>
    </w:p>
    <w:p>
      <w:pPr>
        <w:spacing w:after="60"/>
        <w:ind w:left="510" w:hanging="340"/>
      </w:pPr>
      <w:r>
        <w:t>☐  Title commitments, surveys and curative work completed (mortgages subordinated, mineral rights addressed).</w:t>
      </w:r>
    </w:p>
    <w:p>
      <w:pPr>
        <w:spacing w:after="60"/>
        <w:ind w:left="510" w:hanging="340"/>
      </w:pPr>
      <w:r>
        <w:t>☐  Gen-tie easements for every crossing.</w:t>
      </w:r>
    </w:p>
    <w:p>
      <w:pPr>
        <w:spacing w:after="60"/>
        <w:ind w:left="510" w:hanging="340"/>
      </w:pPr>
      <w:r>
        <w:t>☐  Side letters and promises to landowners or neighbors made outside the documents.</w:t>
      </w:r>
    </w:p>
    <w:p>
      <w:pPr>
        <w:pStyle w:val="Heading2"/>
      </w:pPr>
      <w:r>
        <w:t>B.2 Resource and energy yield</w:t>
      </w:r>
    </w:p>
    <w:p>
      <w:pPr>
        <w:spacing w:after="60"/>
        <w:ind w:left="510" w:hanging="340"/>
      </w:pPr>
      <w:r>
        <w:t>☐  Source and period of the irradiance or wind data; satellite, ground station or met mast; correlation to the long-term record (chapter 4).</w:t>
      </w:r>
    </w:p>
    <w:p>
      <w:pPr>
        <w:spacing w:after="60"/>
        <w:ind w:left="510" w:hanging="340"/>
      </w:pPr>
      <w:r>
        <w:t>☐  Independent energy yield assessment, its date and the layout it assumes.</w:t>
      </w:r>
    </w:p>
    <w:p>
      <w:pPr>
        <w:spacing w:after="60"/>
        <w:ind w:left="510" w:hanging="340"/>
      </w:pPr>
      <w:r>
        <w:t>☐  Loss waterfall line by line: soiling and snow, shading, temperature, mismatch and wiring, inverter efficiency, clipping at the loading ratio, AC losses, availability.</w:t>
      </w:r>
    </w:p>
    <w:p>
      <w:pPr>
        <w:spacing w:after="60"/>
        <w:ind w:left="510" w:hanging="340"/>
      </w:pPr>
      <w:r>
        <w:t>☐  Uncertainty components and how they combine for one-year and ten-year exceedance levels.</w:t>
      </w:r>
    </w:p>
    <w:p>
      <w:pPr>
        <w:spacing w:after="60"/>
        <w:ind w:left="510" w:hanging="340"/>
      </w:pPr>
      <w:r>
        <w:t>☐  P50, P90 and P99 values, and which ones the lender and the PPA counterparty rely on.</w:t>
      </w:r>
    </w:p>
    <w:p>
      <w:pPr>
        <w:spacing w:after="60"/>
        <w:ind w:left="510" w:hanging="340"/>
      </w:pPr>
      <w:r>
        <w:t>☐  For wind: shear, wake losses from neighboring projects, power curve warranty, icing and curtailment for wildlife or radar.</w:t>
      </w:r>
    </w:p>
    <w:p>
      <w:pPr>
        <w:spacing w:after="60"/>
        <w:ind w:left="510" w:hanging="340"/>
      </w:pPr>
      <w:r>
        <w:t>☐  The same energy figure in the model, the PPA, the EPC guarantee and the lender's case.</w:t>
      </w:r>
    </w:p>
    <w:p>
      <w:pPr>
        <w:pStyle w:val="Heading2"/>
      </w:pPr>
      <w:r>
        <w:t>B.3 Permits and environmental</w:t>
      </w:r>
    </w:p>
    <w:p>
      <w:pPr>
        <w:spacing w:after="60"/>
        <w:ind w:left="510" w:hanging="340"/>
      </w:pPr>
      <w:r>
        <w:t>☐  Every local, state and federal permit, with its conditions, appeal period and expiry (chapter 5).</w:t>
      </w:r>
    </w:p>
    <w:p>
      <w:pPr>
        <w:spacing w:after="60"/>
        <w:ind w:left="510" w:hanging="340"/>
      </w:pPr>
      <w:r>
        <w:t>☐  Conditional use permit conditions: setbacks, vegetative screening, decommissioning security, road use agreement; evidence each can be met.</w:t>
      </w:r>
    </w:p>
    <w:p>
      <w:pPr>
        <w:spacing w:after="60"/>
        <w:ind w:left="510" w:hanging="340"/>
      </w:pPr>
      <w:r>
        <w:t>☐  Environmental surveys and their seasons: wetlands, cultural resources, threatened and endangered species habitat.</w:t>
      </w:r>
    </w:p>
    <w:p>
      <w:pPr>
        <w:spacing w:after="60"/>
        <w:ind w:left="510" w:hanging="340"/>
      </w:pPr>
      <w:r>
        <w:t>☐  Federal triggers: wetlands permits, species consultation, federal land or funding, aviation; for wind, FAA and Department of Defense review, and the status of the injunction of 6 August 2026 against the review freeze (as of October 2026).</w:t>
      </w:r>
    </w:p>
    <w:p>
      <w:pPr>
        <w:spacing w:after="60"/>
        <w:ind w:left="510" w:hanging="340"/>
      </w:pPr>
      <w:r>
        <w:t>☐  Hearing record, opposition, pending litigation, local moratoriums.</w:t>
      </w:r>
    </w:p>
    <w:p>
      <w:pPr>
        <w:spacing w:after="60"/>
        <w:ind w:left="510" w:hanging="340"/>
      </w:pPr>
      <w:r>
        <w:t>☐  State siting thresholds and whether the project falls under them; permits transferable to a buyer.</w:t>
      </w:r>
    </w:p>
    <w:p>
      <w:pPr>
        <w:pStyle w:val="Heading2"/>
      </w:pPr>
      <w:r>
        <w:t>B.4 Interconnection</w:t>
      </w:r>
    </w:p>
    <w:p>
      <w:pPr>
        <w:spacing w:after="60"/>
        <w:ind w:left="510" w:hanging="340"/>
      </w:pPr>
      <w:r>
        <w:t>☐  Queue position, cluster and study stage; request in the project company's name (chapter 6).</w:t>
      </w:r>
    </w:p>
    <w:p>
      <w:pPr>
        <w:spacing w:after="60"/>
        <w:ind w:left="510" w:hanging="340"/>
      </w:pPr>
      <w:r>
        <w:t>☐  Study deposits, readiness deposits and LGIA security posted, and who funded them.</w:t>
      </w:r>
    </w:p>
    <w:p>
      <w:pPr>
        <w:spacing w:after="60"/>
        <w:ind w:left="510" w:hanging="340"/>
      </w:pPr>
      <w:r>
        <w:t>☐  Withdrawal penalties and the exemptions for large cost increases under Order No. 2023.</w:t>
      </w:r>
    </w:p>
    <w:p>
      <w:pPr>
        <w:spacing w:after="60"/>
        <w:ind w:left="510" w:hanging="340"/>
      </w:pPr>
      <w:r>
        <w:t>☐  Network upgrades assigned: estimate, firmness, cost allocation, and reallocation risk if cluster mates withdraw; affected system study results.</w:t>
      </w:r>
    </w:p>
    <w:p>
      <w:pPr>
        <w:spacing w:after="60"/>
        <w:ind w:left="510" w:hanging="340"/>
      </w:pPr>
      <w:r>
        <w:t>☐  Facilities study and LGIA: milestones, transmission owner schedule for its work, consequences of its delay, operating limits.</w:t>
      </w:r>
    </w:p>
    <w:p>
      <w:pPr>
        <w:spacing w:after="60"/>
        <w:ind w:left="510" w:hanging="340"/>
      </w:pPr>
      <w:r>
        <w:t>☐  Interconnection service: energy only or deliverable for capacity, and the accredited capacity that results.</w:t>
      </w:r>
    </w:p>
    <w:p>
      <w:pPr>
        <w:pStyle w:val="Heading2"/>
      </w:pPr>
      <w:r>
        <w:t>B.5 Offtake (utility PPA and virtual PPA)</w:t>
      </w:r>
    </w:p>
    <w:p>
      <w:pPr>
        <w:pStyle w:val="Heading3"/>
      </w:pPr>
      <w:r>
        <w:t>Utility PPA</w:t>
      </w:r>
    </w:p>
    <w:p>
      <w:pPr>
        <w:spacing w:after="60"/>
        <w:ind w:left="510" w:hanging="340"/>
      </w:pPr>
      <w:r>
        <w:t>☐  Products sold (energy, RECs, capacity), price, escalation and term (chapter 7).</w:t>
      </w:r>
    </w:p>
    <w:p>
      <w:pPr>
        <w:spacing w:after="60"/>
        <w:ind w:left="510" w:hanging="340"/>
      </w:pPr>
      <w:r>
        <w:t>☐  Delivery point and who carries the basis between node and hub.</w:t>
      </w:r>
    </w:p>
    <w:p>
      <w:pPr>
        <w:spacing w:after="60"/>
        <w:ind w:left="510" w:hanging="340"/>
      </w:pPr>
      <w:r>
        <w:t>☐  Commercial operation deadline, PPA delay damages and termination rights; how they line up with the EPC schedule.</w:t>
      </w:r>
    </w:p>
    <w:p>
      <w:pPr>
        <w:spacing w:after="60"/>
        <w:ind w:left="510" w:hanging="340"/>
      </w:pPr>
      <w:r>
        <w:t>☐  Output or availability guarantees and shortfall damages; who pays for curtailment.</w:t>
      </w:r>
    </w:p>
    <w:p>
      <w:pPr>
        <w:spacing w:after="60"/>
        <w:ind w:left="510" w:hanging="340"/>
      </w:pPr>
      <w:r>
        <w:t>☐  Change in law, credit support and consent to assignment or sale.</w:t>
      </w:r>
    </w:p>
    <w:p>
      <w:pPr>
        <w:pStyle w:val="Heading3"/>
      </w:pPr>
      <w:r>
        <w:t>Virtual PPA</w:t>
      </w:r>
    </w:p>
    <w:p>
      <w:pPr>
        <w:spacing w:after="60"/>
        <w:ind w:left="510" w:hanging="340"/>
      </w:pPr>
      <w:r>
        <w:t>☐  Strike price, term, settlement hub and settlement method (as-generated or fixed shape).</w:t>
      </w:r>
    </w:p>
    <w:p>
      <w:pPr>
        <w:spacing w:after="60"/>
        <w:ind w:left="510" w:hanging="340"/>
      </w:pPr>
      <w:r>
        <w:t>☐  Hours settled, treatment of negative prices, and the basis the project keeps.</w:t>
      </w:r>
    </w:p>
    <w:p>
      <w:pPr>
        <w:spacing w:after="60"/>
        <w:ind w:left="510" w:hanging="340"/>
      </w:pPr>
      <w:r>
        <w:t>☐  REC delivery and registry; the buyer's accounting needs, including any hourly matching requirement under the GHG Protocol Scope 2 revision (draft October 2025, final rules expected around the end of 2027, as of October 2026).</w:t>
      </w:r>
    </w:p>
    <w:p>
      <w:pPr>
        <w:spacing w:after="60"/>
        <w:ind w:left="510" w:hanging="340"/>
      </w:pPr>
      <w:r>
        <w:t>☐  Buyer credit, collateral and termination payments.</w:t>
      </w:r>
    </w:p>
    <w:p>
      <w:pPr>
        <w:pStyle w:val="Heading2"/>
      </w:pPr>
      <w:r>
        <w:t>B.6 Equipment, supply and foreign entity documentation</w:t>
      </w:r>
    </w:p>
    <w:p>
      <w:pPr>
        <w:spacing w:after="60"/>
        <w:ind w:left="510" w:hanging="340"/>
      </w:pPr>
      <w:r>
        <w:t>☐  Module, tracker and inverter supply agreements: price and adjustments, delivery schedule and delay damages, factory and site tests, title and risk transfer (chapter 8).</w:t>
      </w:r>
    </w:p>
    <w:p>
      <w:pPr>
        <w:spacing w:after="60"/>
        <w:ind w:left="510" w:hanging="340"/>
      </w:pPr>
      <w:r>
        <w:t>☐  Warranties: term, degradation curve, remedies, warrantor's credit.</w:t>
      </w:r>
    </w:p>
    <w:p>
      <w:pPr>
        <w:spacing w:after="60"/>
        <w:ind w:left="510" w:hanging="340"/>
      </w:pPr>
      <w:r>
        <w:t>☐  Origin of cells, wafers and modules; customs entries; forced labor documentation.</w:t>
      </w:r>
    </w:p>
    <w:p>
      <w:pPr>
        <w:spacing w:after="60"/>
        <w:ind w:left="510" w:hanging="340"/>
      </w:pPr>
      <w:r>
        <w:t>☐  Tariff exposure at signing and the contract allocation of new duties: Section 232 polysilicon tariff effective 4 December 2026, antidumping and countervailing duty orders, Section 301 duties effective 24 July 2026 (all as of October 2026).</w:t>
      </w:r>
    </w:p>
    <w:p>
      <w:pPr>
        <w:spacing w:after="60"/>
        <w:ind w:left="510" w:hanging="340"/>
      </w:pPr>
      <w:r>
        <w:t>☐  Supplier certificates supporting the material assistance cost ratio, the method used (actual costs or the safe harbor tables under Notice 2026-15 of 12 February 2026), and the de minimis analysis.</w:t>
      </w:r>
    </w:p>
    <w:p>
      <w:pPr>
        <w:spacing w:after="60"/>
        <w:ind w:left="510" w:hanging="340"/>
      </w:pPr>
      <w:r>
        <w:t>☐  Supplier ownership, debt and licenses: no prohibited foreign entity, no effective control.</w:t>
      </w:r>
    </w:p>
    <w:p>
      <w:pPr>
        <w:pStyle w:val="Heading2"/>
      </w:pPr>
      <w:r>
        <w:t>B.7 EPC</w:t>
      </w:r>
    </w:p>
    <w:p>
      <w:pPr>
        <w:spacing w:after="60"/>
        <w:ind w:left="510" w:hanging="340"/>
      </w:pPr>
      <w:r>
        <w:t>☐  Structure: full wrap, split EPC and balance of plant, or owner-furnished equipment, and the interfaces each creates (chapter 9).</w:t>
      </w:r>
    </w:p>
    <w:p>
      <w:pPr>
        <w:spacing w:after="60"/>
        <w:ind w:left="510" w:hanging="340"/>
      </w:pPr>
      <w:r>
        <w:t>☐  Fixed price, owner's contingency, change order triggers.</w:t>
      </w:r>
    </w:p>
    <w:p>
      <w:pPr>
        <w:spacing w:after="60"/>
        <w:ind w:left="510" w:hanging="340"/>
      </w:pPr>
      <w:r>
        <w:t>☐  Schedule and the conditions for mechanical and substantial completion.</w:t>
      </w:r>
    </w:p>
    <w:p>
      <w:pPr>
        <w:spacing w:after="60"/>
        <w:ind w:left="510" w:hanging="340"/>
      </w:pPr>
      <w:r>
        <w:t>☐  Delay damages: daily rate, cap, and whether they cover the owner's lost margin, deferred credits and PPA damages.</w:t>
      </w:r>
    </w:p>
    <w:p>
      <w:pPr>
        <w:spacing w:after="60"/>
        <w:ind w:left="510" w:hanging="340"/>
      </w:pPr>
      <w:r>
        <w:t>☐  Performance tests and buy-down damages; the tested capacity threshold.</w:t>
      </w:r>
    </w:p>
    <w:p>
      <w:pPr>
        <w:spacing w:after="60"/>
        <w:ind w:left="510" w:hanging="340"/>
      </w:pPr>
      <w:r>
        <w:t>☐  Liability cap, retention, letters of credit or parent guarantees; change in law and tariff allocation.</w:t>
      </w:r>
    </w:p>
    <w:p>
      <w:pPr>
        <w:spacing w:after="60"/>
        <w:ind w:left="510" w:hanging="340"/>
      </w:pPr>
      <w:r>
        <w:t>☐  Prevailing wage and apprenticeship obligations flowed down to every subcontractor, with records.</w:t>
      </w:r>
    </w:p>
    <w:p>
      <w:pPr>
        <w:pStyle w:val="Heading2"/>
      </w:pPr>
      <w:r>
        <w:t>B.8 Tax credits</w:t>
      </w:r>
    </w:p>
    <w:p>
      <w:pPr>
        <w:pStyle w:val="Heading3"/>
      </w:pPr>
      <w:r>
        <w:t>Beginning of construction file</w:t>
      </w:r>
    </w:p>
    <w:p>
      <w:pPr>
        <w:spacing w:after="60"/>
        <w:ind w:left="510" w:hanging="340"/>
      </w:pPr>
      <w:r>
        <w:t>☐  Date construction began and the method relied on: physical work of a significant nature on or off site under a binding written contract, or the five percent safe harbor restored when Notice 2025-42 was vacated on 6 June 2026 (as of October 2026, subject to any appeal or new guidance; chapter 11).</w:t>
      </w:r>
    </w:p>
    <w:p>
      <w:pPr>
        <w:spacing w:after="60"/>
        <w:ind w:left="510" w:hanging="340"/>
      </w:pPr>
      <w:r>
        <w:t>☐  Evidence the start came on or before 4 July 2026 (contracts, invoices, photographs, manufacturer records); otherwise, a plan to be placed in service by 31 December 2027.</w:t>
      </w:r>
    </w:p>
    <w:p>
      <w:pPr>
        <w:pStyle w:val="Heading3"/>
      </w:pPr>
      <w:r>
        <w:t>Continuity</w:t>
      </w:r>
    </w:p>
    <w:p>
      <w:pPr>
        <w:spacing w:after="60"/>
        <w:ind w:left="510" w:hanging="340"/>
      </w:pPr>
      <w:r>
        <w:t>☐  Continuous program of work since the start, documented month by month.</w:t>
      </w:r>
    </w:p>
    <w:p>
      <w:pPr>
        <w:spacing w:after="60"/>
        <w:ind w:left="510" w:hanging="340"/>
      </w:pPr>
      <w:r>
        <w:t>☐  Placed in service deadline under the continuity safe harbor (end of the fourth calendar year after the year construction began).</w:t>
      </w:r>
    </w:p>
    <w:p>
      <w:pPr>
        <w:pStyle w:val="Heading3"/>
      </w:pPr>
      <w:r>
        <w:t>Prevailing wage and apprenticeship</w:t>
      </w:r>
    </w:p>
    <w:p>
      <w:pPr>
        <w:spacing w:after="60"/>
        <w:ind w:left="510" w:hanging="340"/>
      </w:pPr>
      <w:r>
        <w:t>☐  Payroll records for every contractor, wage determinations used, apprenticeship hours, cure procedures for any gap.</w:t>
      </w:r>
    </w:p>
    <w:p>
      <w:pPr>
        <w:pStyle w:val="Heading3"/>
      </w:pPr>
      <w:r>
        <w:t>Credit choice and bonuses</w:t>
      </w:r>
    </w:p>
    <w:p>
      <w:pPr>
        <w:spacing w:after="60"/>
        <w:ind w:left="510" w:hanging="340"/>
      </w:pPr>
      <w:r>
        <w:t>☐  PTC or ITC election and the reasoning; eligible basis and exclusions for the ITC.</w:t>
      </w:r>
    </w:p>
    <w:p>
      <w:pPr>
        <w:spacing w:after="60"/>
        <w:ind w:left="510" w:hanging="340"/>
      </w:pPr>
      <w:r>
        <w:t>☐  Energy community qualification under the current annual update (Notice 2026-39 of 10 June 2026); domestic content support.</w:t>
      </w:r>
    </w:p>
    <w:p>
      <w:pPr>
        <w:spacing w:after="60"/>
        <w:ind w:left="510" w:hanging="340"/>
      </w:pPr>
      <w:r>
        <w:t>☐  Material assistance cost ratio result against the threshold for the year construction began.</w:t>
      </w:r>
    </w:p>
    <w:p>
      <w:pPr>
        <w:pStyle w:val="Heading3"/>
      </w:pPr>
      <w:r>
        <w:t>Transfer documents</w:t>
      </w:r>
    </w:p>
    <w:p>
      <w:pPr>
        <w:spacing w:after="60"/>
        <w:ind w:left="510" w:hanging="340"/>
      </w:pPr>
      <w:r>
        <w:t>☐  Transfer agreement: buyer, price, payment timing, indemnities, tax insurance; registration and election filings; ITC recapture exposure during the five years after placed in service (disposition of the property or a change in use) and which party bears it under the transfer agreement.</w:t>
      </w:r>
    </w:p>
    <w:p>
      <w:pPr>
        <w:pStyle w:val="Heading2"/>
      </w:pPr>
      <w:r>
        <w:t>B.9 Financing and closing at NTP</w:t>
      </w:r>
    </w:p>
    <w:p>
      <w:pPr>
        <w:spacing w:after="60"/>
        <w:ind w:left="510" w:hanging="340"/>
      </w:pPr>
      <w:r>
        <w:t>☐  Purchase agreement: premium, reimbursement, milestone payments, conditions precedent, representations and indemnities (chapter 14).</w:t>
      </w:r>
    </w:p>
    <w:p>
      <w:pPr>
        <w:spacing w:after="60"/>
        <w:ind w:left="510" w:hanging="340"/>
      </w:pPr>
      <w:r>
        <w:t>☐  Every project contract assignable to the buyer and its lenders; consents obtained.</w:t>
      </w:r>
    </w:p>
    <w:p>
      <w:pPr>
        <w:spacing w:after="60"/>
        <w:ind w:left="510" w:hanging="340"/>
      </w:pPr>
      <w:r>
        <w:t>☐  Construction loan term sheet; term debt sizing on P50 and P99 with the coverage ratios by offtake; tax equity or transfer bridge terms (chapter 12).</w:t>
      </w:r>
    </w:p>
    <w:p>
      <w:pPr>
        <w:spacing w:after="60"/>
        <w:ind w:left="510" w:hanging="340"/>
      </w:pPr>
      <w:r>
        <w:t>☐  Model inputs traced to signed contracts; discount rates by risk; credits at transfer price.</w:t>
      </w:r>
    </w:p>
    <w:p>
      <w:pPr>
        <w:pStyle w:val="Heading2"/>
      </w:pPr>
      <w:r>
        <w:t>B.10 Construction to COD</w:t>
      </w:r>
    </w:p>
    <w:p>
      <w:pPr>
        <w:spacing w:after="60"/>
        <w:ind w:left="510" w:hanging="340"/>
      </w:pPr>
      <w:r>
        <w:t>☐  Construction schedule against the PPA deadline and the credit deadline, with float identified (chapter 15).</w:t>
      </w:r>
    </w:p>
    <w:p>
      <w:pPr>
        <w:spacing w:after="60"/>
        <w:ind w:left="510" w:hanging="340"/>
      </w:pPr>
      <w:r>
        <w:t>☐  Substation energization, backfeed and testing plan agreed with the transmission owner.</w:t>
      </w:r>
    </w:p>
    <w:p>
      <w:pPr>
        <w:spacing w:after="60"/>
        <w:ind w:left="510" w:hanging="340"/>
      </w:pPr>
      <w:r>
        <w:t>☐  Commissioning and capacity test procedures identical across the EPC contract, the supply agreements and the PPA.</w:t>
      </w:r>
    </w:p>
    <w:p>
      <w:pPr>
        <w:spacing w:after="60"/>
        <w:ind w:left="510" w:hanging="340"/>
      </w:pPr>
      <w:r>
        <w:t>☐  Placed in service date documented for tax; commercial operation date documented under the PPA; the two kept distinct.</w:t>
      </w:r>
    </w:p>
    <w:p>
      <w:pPr>
        <w:spacing w:after="60"/>
        <w:ind w:left="510" w:hanging="340"/>
      </w:pPr>
      <w:r>
        <w:t>☐  Punch list, final completion, release of retention; delay log with damages claimed and paid.</w:t>
      </w:r>
    </w:p>
    <w:p>
      <w:pPr>
        <w:spacing w:after="60"/>
        <w:ind w:left="510" w:hanging="340"/>
      </w:pPr>
      <w:r>
        <w:t>☐  Handover package: as-built drawings, warranties, spares, O&amp;M and asset management agreements.</w:t>
      </w:r>
    </w:p>
    <w:p/>
    <w:p>
      <w:r>
        <w:rPr>
          <w:sz w:val="18"/>
        </w:rPr>
        <w:t>Julian R. Sterling, The Renewable Energy Development Handbook. Starting points for a diligence plan, not a substitute for specialist advisers. Every rule cited carries its date; check it is still current.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cs="Georgia" w:eastAsia="Georgia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cs="Georgia" w:eastAsia="Georgia"/>
      <w:b/>
      <w:bCs/>
      <w:color w:val="1F29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cs="Georgia" w:eastAsia="Georgia"/>
      <w:b/>
      <w:bCs/>
      <w:color w:val="1F2933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cs="Georgia" w:eastAsia="Georgia"/>
      <w:b/>
      <w:bCs/>
      <w:color w:val="1F29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Georgia" w:hAnsi="Georgia" w:cs="Georgia" w:eastAsia="Georgia"/>
      <w:color w:val="1F29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Renewable Energy Development Handbook: Diligence Checklists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