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Water Infrastructure Investor: Diligence Checklists</w:t>
      </w:r>
    </w:p>
    <w:p>
      <w:r>
        <w:t>These lists gather the questions the chapters raise. Use them to build a request list, not as a substitute for engineers, regulatory counsel and the commission's record. Figures in parentheses are Pell River or Sorrel Bay case figures, shown as examples. Rules differ by state: check each regulatory item against the statutes and recent orders.</w:t>
      </w:r>
    </w:p>
    <w:p>
      <w:pPr>
        <w:pStyle w:val="Heading2"/>
      </w:pPr>
      <w:r>
        <w:t>B.1 Screening a water utility</w:t>
      </w:r>
    </w:p>
    <w:p>
      <w:pPr>
        <w:pStyle w:val="ListBullet"/>
      </w:pPr>
      <w:r>
        <w:t>☐ Regulator, filing frequency, test year, year-end or average rate base.</w:t>
      </w:r>
    </w:p>
    <w:p>
      <w:pPr>
        <w:pStyle w:val="ListBullet"/>
      </w:pPr>
      <w:r>
        <w:t>☐ Authorized return on equity and capital structure in the last order, against the request (Pell River: 9.60 percent against 10.25 percent).</w:t>
      </w:r>
    </w:p>
    <w:p>
      <w:pPr>
        <w:pStyle w:val="ListBullet"/>
      </w:pPr>
      <w:r>
        <w:t>☐ Rate base since the last order: plant in service, depreciation, deferred taxes, customer contributions.</w:t>
      </w:r>
    </w:p>
    <w:p>
      <w:pPr>
        <w:pStyle w:val="ListBullet"/>
      </w:pPr>
      <w:r>
        <w:t>☐ Pending cases, settlements, stay-out commitments.</w:t>
      </w:r>
    </w:p>
    <w:p>
      <w:pPr>
        <w:pStyle w:val="ListBullet"/>
      </w:pPr>
      <w:r>
        <w:t>☐ Infrastructure surcharge: qualifying assets, cap, true-up.</w:t>
      </w:r>
    </w:p>
    <w:p>
      <w:pPr>
        <w:pStyle w:val="ListBullet"/>
      </w:pPr>
      <w:r>
        <w:t>☐ Fair market value law: does the price enter rate base.</w:t>
      </w:r>
    </w:p>
    <w:p>
      <w:pPr>
        <w:pStyle w:val="ListBullet"/>
      </w:pPr>
      <w:r>
        <w:t>☐ Decoupling; volumetric share of revenue; trend in use per connection.</w:t>
      </w:r>
    </w:p>
    <w:p>
      <w:pPr>
        <w:pStyle w:val="ListBullet"/>
      </w:pPr>
      <w:r>
        <w:t>☐ Capital plan by line against depreciation.</w:t>
      </w:r>
    </w:p>
    <w:p>
      <w:pPr>
        <w:pStyle w:val="ListBullet"/>
      </w:pPr>
      <w:r>
        <w:t>☐ Affordability: bill against median income for the service area and the lowest-income tracts; low-income programs.</w:t>
      </w:r>
    </w:p>
    <w:p>
      <w:pPr>
        <w:pStyle w:val="ListBullet"/>
      </w:pPr>
      <w:r>
        <w:t>☐ Earned against authorized return over five years or more.</w:t>
      </w:r>
    </w:p>
    <w:p>
      <w:pPr>
        <w:pStyle w:val="Heading2"/>
      </w:pPr>
      <w:r>
        <w:t>B.2 Reading a rate case order</w:t>
      </w:r>
    </w:p>
    <w:p>
      <w:pPr>
        <w:pStyle w:val="ListBullet"/>
      </w:pPr>
      <w:r>
        <w:t>☐ Rate base allowed against requested, with each adjustment and its reason.</w:t>
      </w:r>
    </w:p>
    <w:p>
      <w:pPr>
        <w:pStyle w:val="ListBullet"/>
      </w:pPr>
      <w:r>
        <w:t>☐ Return on equity, cost of debt, equity ratio, overall return on rate base.</w:t>
      </w:r>
    </w:p>
    <w:p>
      <w:pPr>
        <w:pStyle w:val="ListBullet"/>
      </w:pPr>
      <w:r>
        <w:t>☐ Income tax gross-up and other taxes.</w:t>
      </w:r>
    </w:p>
    <w:p>
      <w:pPr>
        <w:pStyle w:val="ListBullet"/>
      </w:pPr>
      <w:r>
        <w:t>☐ Operation and maintenance allowed; normalizations.</w:t>
      </w:r>
    </w:p>
    <w:p>
      <w:pPr>
        <w:pStyle w:val="ListBullet"/>
      </w:pPr>
      <w:r>
        <w:t>☐ Depreciation rates; post-test-year changes accepted.</w:t>
      </w:r>
    </w:p>
    <w:p>
      <w:pPr>
        <w:pStyle w:val="ListBullet"/>
      </w:pPr>
      <w:r>
        <w:t>☐ Revenue requirement, revenue at existing rates, increase granted against requested.</w:t>
      </w:r>
    </w:p>
    <w:p>
      <w:pPr>
        <w:pStyle w:val="ListBullet"/>
      </w:pPr>
      <w:r>
        <w:t>☐ Disallowances: prudence, used and useful, costs moved to expense.</w:t>
      </w:r>
    </w:p>
    <w:p>
      <w:pPr>
        <w:pStyle w:val="ListBullet"/>
      </w:pPr>
      <w:r>
        <w:t>☐ Rate design, class allocation, phase-ins.</w:t>
      </w:r>
    </w:p>
    <w:p>
      <w:pPr>
        <w:pStyle w:val="ListBullet"/>
      </w:pPr>
      <w:r>
        <w:t>☐ Conditions, reporting duties, date of the next permitted filing.</w:t>
      </w:r>
    </w:p>
    <w:p>
      <w:pPr>
        <w:pStyle w:val="Heading2"/>
      </w:pPr>
      <w:r>
        <w:t>B.3 Utility asset condition and operations</w:t>
      </w:r>
    </w:p>
    <w:p>
      <w:pPr>
        <w:pStyle w:val="ListBullet"/>
      </w:pPr>
      <w:r>
        <w:t>☐ Mains by material and age; breaks per 100 miles (Pell River: 21 in 2027).</w:t>
      </w:r>
    </w:p>
    <w:p>
      <w:pPr>
        <w:pStyle w:val="ListBullet"/>
      </w:pPr>
      <w:r>
        <w:t>☐ Historical renewal rate against the plan (Corliss 0.55 percent a year; Brannock 1.0 percent); contractor capacity to deliver it.</w:t>
      </w:r>
    </w:p>
    <w:p>
      <w:pPr>
        <w:pStyle w:val="ListBullet"/>
      </w:pPr>
      <w:r>
        <w:t>☐ Non-revenue water rebuilt from production and billing data (Pell River: 18.5 percent found, 16.5 percent in the data room).</w:t>
      </w:r>
    </w:p>
    <w:p>
      <w:pPr>
        <w:pStyle w:val="ListBullet"/>
      </w:pPr>
      <w:r>
        <w:t>☐ Meter age and accuracy.</w:t>
      </w:r>
    </w:p>
    <w:p>
      <w:pPr>
        <w:pStyle w:val="ListBullet"/>
      </w:pPr>
      <w:r>
        <w:t>☐ Wells and plants: capacity, redundancy, permits, source protection.</w:t>
      </w:r>
    </w:p>
    <w:p>
      <w:pPr>
        <w:pStyle w:val="ListBullet"/>
      </w:pPr>
      <w:r>
        <w:t>☐ Energy per million gallons; power contracts.</w:t>
      </w:r>
    </w:p>
    <w:p>
      <w:pPr>
        <w:pStyle w:val="ListBullet"/>
      </w:pPr>
      <w:r>
        <w:t>☐ Wastewater permits, overflows, consent decrees.</w:t>
      </w:r>
    </w:p>
    <w:p>
      <w:pPr>
        <w:pStyle w:val="ListBullet"/>
      </w:pPr>
      <w:r>
        <w:t>☐ Labor contracts and operator certifications; compliance record.</w:t>
      </w:r>
    </w:p>
    <w:p>
      <w:pPr>
        <w:pStyle w:val="Heading2"/>
      </w:pPr>
      <w:r>
        <w:t>B.4 Contaminant programs (PFAS, lead) and recovery</w:t>
      </w:r>
    </w:p>
    <w:p>
      <w:pPr>
        <w:pStyle w:val="ListBullet"/>
      </w:pPr>
      <w:r>
        <w:t>☐ PFAS (per- and polyfluoroalkyl substances) sampling by well against the PFOA and PFOS limits (Pell River: 14 of 62 wells above).</w:t>
      </w:r>
    </w:p>
    <w:p>
      <w:pPr>
        <w:pStyle w:val="ListBullet"/>
      </w:pPr>
      <w:r>
        <w:t>☐ Treatment by site (granular activated carbon, ion exchange); capital, media and monitoring cost.</w:t>
      </w:r>
    </w:p>
    <w:p>
      <w:pPr>
        <w:pStyle w:val="ListBullet"/>
      </w:pPr>
      <w:r>
        <w:t>☐ Compliance date assumed; status of the rule at the bid date (still moving as of October 2026).</w:t>
      </w:r>
    </w:p>
    <w:p>
      <w:pPr>
        <w:pStyle w:val="ListBullet"/>
      </w:pPr>
      <w:r>
        <w:t>☐ Manufacturer settlement proceeds and their treatment by the commission.</w:t>
      </w:r>
    </w:p>
    <w:p>
      <w:pPr>
        <w:pStyle w:val="ListBullet"/>
      </w:pPr>
      <w:r>
        <w:t>☐ Lead and galvanized service line inventory, unknown lines, pace against the ten-year replacement requirement.</w:t>
      </w:r>
    </w:p>
    <w:p>
      <w:pPr>
        <w:pStyle w:val="ListBullet"/>
      </w:pPr>
      <w:r>
        <w:t>☐ Cost per line; utility side against customer side (Pell River: 55 percent customer side).</w:t>
      </w:r>
    </w:p>
    <w:p>
      <w:pPr>
        <w:pStyle w:val="ListBullet"/>
      </w:pPr>
      <w:r>
        <w:t>☐ Commission position on customer-side cost in rate base.</w:t>
      </w:r>
    </w:p>
    <w:p>
      <w:pPr>
        <w:pStyle w:val="ListBullet"/>
      </w:pPr>
      <w:r>
        <w:t>☐ Model scenarios: disallowance, expensing, delay.</w:t>
      </w:r>
    </w:p>
    <w:p>
      <w:pPr>
        <w:pStyle w:val="Heading2"/>
      </w:pPr>
      <w:r>
        <w:t>B.5 BOT and water purchase agreement review</w:t>
      </w:r>
    </w:p>
    <w:p>
      <w:pPr>
        <w:pStyle w:val="ListBullet"/>
      </w:pPr>
      <w:r>
        <w:t>☐ Parties, term, transfer and handback condition.</w:t>
      </w:r>
    </w:p>
    <w:p>
      <w:pPr>
        <w:pStyle w:val="ListBullet"/>
      </w:pPr>
      <w:r>
        <w:t>☐ Payment mechanism: capacity, fixed O&amp;M, energy and chemicals charges; which are indexed.</w:t>
      </w:r>
    </w:p>
    <w:p>
      <w:pPr>
        <w:pStyle w:val="ListBullet"/>
      </w:pPr>
      <w:r>
        <w:t>☐ Availability guarantee and deductions (Sorrel Bay: 95 percent, payment falling twice as fast below it).</w:t>
      </w:r>
    </w:p>
    <w:p>
      <w:pPr>
        <w:pStyle w:val="ListBullet"/>
      </w:pPr>
      <w:r>
        <w:t>☐ Take-or-pay or take-and-pay; the wet-year outcome.</w:t>
      </w:r>
    </w:p>
    <w:p>
      <w:pPr>
        <w:pStyle w:val="ListBullet"/>
      </w:pPr>
      <w:r>
        <w:t>☐ Guaranteed kWh per m3 (Sorrel Bay: 3.6); power price pass-through; who bears overuse.</w:t>
      </w:r>
    </w:p>
    <w:p>
      <w:pPr>
        <w:pStyle w:val="ListBullet"/>
      </w:pPr>
      <w:r>
        <w:t>☐ Water quality specifications and penalties.</w:t>
      </w:r>
    </w:p>
    <w:p>
      <w:pPr>
        <w:pStyle w:val="ListBullet"/>
      </w:pPr>
      <w:r>
        <w:t>☐ Fixed price, date certain, delay damages (Sorrel Bay: 70 percent of lost capacity payments).</w:t>
      </w:r>
    </w:p>
    <w:p>
      <w:pPr>
        <w:pStyle w:val="ListBullet"/>
      </w:pPr>
      <w:r>
        <w:t>☐ Change in law, force majeure, relief events.</w:t>
      </w:r>
    </w:p>
    <w:p>
      <w:pPr>
        <w:pStyle w:val="ListBullet"/>
      </w:pPr>
      <w:r>
        <w:t>☐ Termination events, compensation on termination, lenders' step-in.</w:t>
      </w:r>
    </w:p>
    <w:p>
      <w:pPr>
        <w:pStyle w:val="ListBullet"/>
      </w:pPr>
      <w:r>
        <w:t>☐ Offtaker credit and payment security.</w:t>
      </w:r>
    </w:p>
    <w:p>
      <w:pPr>
        <w:pStyle w:val="Heading2"/>
      </w:pPr>
      <w:r>
        <w:t>B.6 Desalination technical diligence</w:t>
      </w:r>
    </w:p>
    <w:p>
      <w:pPr>
        <w:pStyle w:val="ListBullet"/>
      </w:pPr>
      <w:r>
        <w:t>☐ Intake and outfall design, marine permits, brine dilution modeling.</w:t>
      </w:r>
    </w:p>
    <w:p>
      <w:pPr>
        <w:pStyle w:val="ListBullet"/>
      </w:pPr>
      <w:r>
        <w:t>☐ Seawater quality; pretreatment sized for blooms and turbidity.</w:t>
      </w:r>
    </w:p>
    <w:p>
      <w:pPr>
        <w:pStyle w:val="ListBullet"/>
      </w:pPr>
      <w:r>
        <w:t>☐ Membrane warranty and replacement cost.</w:t>
      </w:r>
    </w:p>
    <w:p>
      <w:pPr>
        <w:pStyle w:val="ListBullet"/>
      </w:pPr>
      <w:r>
        <w:t>☐ High-pressure pumps and energy recovery devices: efficiency, overhaul budget.</w:t>
      </w:r>
    </w:p>
    <w:p>
      <w:pPr>
        <w:pStyle w:val="ListBullet"/>
      </w:pPr>
      <w:r>
        <w:t>☐ Recovery rate and energy use against guarantees.</w:t>
      </w:r>
    </w:p>
    <w:p>
      <w:pPr>
        <w:pStyle w:val="ListBullet"/>
      </w:pPr>
      <w:r>
        <w:t>☐ Grid connection and power supply.</w:t>
      </w:r>
    </w:p>
    <w:p>
      <w:pPr>
        <w:pStyle w:val="ListBullet"/>
      </w:pPr>
      <w:r>
        <w:t>☐ Conveyance route and interface with the offtaker's system.</w:t>
      </w:r>
    </w:p>
    <w:p>
      <w:pPr>
        <w:pStyle w:val="ListBullet"/>
      </w:pPr>
      <w:r>
        <w:t>☐ EPC and O&amp;M contractors' records and liability caps.</w:t>
      </w:r>
    </w:p>
    <w:p>
      <w:pPr>
        <w:pStyle w:val="ListBullet"/>
      </w:pPr>
      <w:r>
        <w:t>☐ Design maturity when the price was fixed.</w:t>
      </w:r>
    </w:p>
    <w:p>
      <w:pPr>
        <w:pStyle w:val="Heading2"/>
      </w:pPr>
      <w:r>
        <w:t>B.7 Industrial water contracts</w:t>
      </w:r>
    </w:p>
    <w:p>
      <w:pPr>
        <w:pStyle w:val="ListBullet"/>
      </w:pPr>
      <w:r>
        <w:t>☐ Customer credit, parent guarantee, letters of credit.</w:t>
      </w:r>
    </w:p>
    <w:p>
      <w:pPr>
        <w:pStyle w:val="ListBullet"/>
      </w:pPr>
      <w:r>
        <w:t>☐ Average, peak and take-or-pay minimum volumes (Halcyon Ridge: 1.5 MGD minimum).</w:t>
      </w:r>
    </w:p>
    <w:p>
      <w:pPr>
        <w:pStyle w:val="ListBullet"/>
      </w:pPr>
      <w:r>
        <w:t>☐ Price, escalation, capacity reservation fee.</w:t>
      </w:r>
    </w:p>
    <w:p>
      <w:pPr>
        <w:pStyle w:val="ListBullet"/>
      </w:pPr>
      <w:r>
        <w:t>☐ Quality specification and liability for off-spec supply.</w:t>
      </w:r>
    </w:p>
    <w:p>
      <w:pPr>
        <w:pStyle w:val="ListBullet"/>
      </w:pPr>
      <w:r>
        <w:t>☐ Term against asset life; early termination payments.</w:t>
      </w:r>
    </w:p>
    <w:p>
      <w:pPr>
        <w:pStyle w:val="ListBullet"/>
      </w:pPr>
      <w:r>
        <w:t>☐ Regulated or unregulated affiliate; affiliate transaction rules.</w:t>
      </w:r>
    </w:p>
    <w:p>
      <w:pPr>
        <w:pStyle w:val="ListBullet"/>
      </w:pPr>
      <w:r>
        <w:t>☐ Community and commission views on industrial water use.</w:t>
      </w:r>
    </w:p>
    <w:p>
      <w:pPr>
        <w:pStyle w:val="Heading2"/>
      </w:pPr>
      <w:r>
        <w:t>B.8 Commission approval and closing conditions</w:t>
      </w:r>
    </w:p>
    <w:p>
      <w:pPr>
        <w:pStyle w:val="ListBullet"/>
      </w:pPr>
      <w:r>
        <w:t>☐ Filing timetable and review period.</w:t>
      </w:r>
    </w:p>
    <w:p>
      <w:pPr>
        <w:pStyle w:val="ListBullet"/>
      </w:pPr>
      <w:r>
        <w:t>☐ Acquisition premium and deal costs kept out of rates (Pell River: $690 million and $18.0 million).</w:t>
      </w:r>
    </w:p>
    <w:p>
      <w:pPr>
        <w:pStyle w:val="ListBullet"/>
      </w:pPr>
      <w:r>
        <w:t>☐ Ring-fencing: own bonds and rating; dividend stops (Pell River: equity ratio below 45 percent or rating below BBB).</w:t>
      </w:r>
    </w:p>
    <w:p>
      <w:pPr>
        <w:pStyle w:val="ListBullet"/>
      </w:pPr>
      <w:r>
        <w:t>☐ Rate case stay-outs or credits offered.</w:t>
      </w:r>
    </w:p>
    <w:p>
      <w:pPr>
        <w:pStyle w:val="ListBullet"/>
      </w:pPr>
      <w:r>
        <w:t>☐ Local management and service quality commitments, and their duration.</w:t>
      </w:r>
    </w:p>
    <w:p>
      <w:pPr>
        <w:pStyle w:val="ListBullet"/>
      </w:pPr>
      <w:r>
        <w:t>☐ Holding company debt and consolidated credit metrics.</w:t>
      </w:r>
    </w:p>
    <w:p>
      <w:pPr>
        <w:pStyle w:val="ListBullet"/>
      </w:pPr>
      <w:r>
        <w:t>☐ Conditions on future tuck-ins.</w:t>
      </w:r>
    </w:p>
    <w:p>
      <w:pPr>
        <w:pStyle w:val="ListBullet"/>
      </w:pPr>
      <w:r>
        <w:t>☐ Final order, appeal period, lender and rating agency consents.</w:t>
      </w:r>
    </w:p>
    <w:p>
      <w:r>
        <w:t>Julian R. Sterling, The Water Infrastructure Investor. Starting points for a diligence plan, not a substitute for engineers, regulatory counsel and other specialist advisers. Rules differ by state and change.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Water Infrastructure Investor: Diligence Checklists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